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9D" w:rsidRPr="00B77629" w:rsidRDefault="003B499D" w:rsidP="003B499D">
      <w:pPr>
        <w:widowControl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 w:rsidRPr="00B77629">
        <w:rPr>
          <w:rFonts w:ascii="Arial" w:hAnsi="Arial" w:cs="Arial"/>
          <w:caps/>
          <w:sz w:val="22"/>
          <w:szCs w:val="22"/>
        </w:rPr>
        <w:t>Список документов и СВЕДЕНИЙ,</w:t>
      </w:r>
    </w:p>
    <w:p w:rsidR="003B499D" w:rsidRPr="00B77629" w:rsidRDefault="003B499D" w:rsidP="003B499D">
      <w:pPr>
        <w:widowControl/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Cs/>
          <w:caps/>
          <w:color w:val="000000"/>
          <w:sz w:val="22"/>
          <w:szCs w:val="22"/>
          <w:lang w:eastAsia="en-US"/>
        </w:rPr>
      </w:pPr>
      <w:r w:rsidRPr="00B77629">
        <w:rPr>
          <w:rFonts w:ascii="Arial" w:hAnsi="Arial" w:cs="Arial"/>
          <w:caps/>
          <w:sz w:val="22"/>
          <w:szCs w:val="22"/>
        </w:rPr>
        <w:t xml:space="preserve"> необходимых </w:t>
      </w:r>
      <w:r w:rsidRPr="00B77629">
        <w:rPr>
          <w:rFonts w:ascii="Arial" w:eastAsia="Calibri" w:hAnsi="Arial" w:cs="Arial"/>
          <w:bCs/>
          <w:caps/>
          <w:color w:val="000000"/>
          <w:sz w:val="22"/>
          <w:szCs w:val="22"/>
          <w:lang w:eastAsia="en-US"/>
        </w:rPr>
        <w:t>для заключения договоров страхования И оценки страховых рисков</w:t>
      </w:r>
    </w:p>
    <w:p w:rsidR="003B499D" w:rsidRPr="00B77629" w:rsidRDefault="003B499D" w:rsidP="003B499D">
      <w:pPr>
        <w:widowControl/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22"/>
          <w:szCs w:val="22"/>
        </w:rPr>
      </w:pPr>
    </w:p>
    <w:p w:rsidR="003B499D" w:rsidRPr="00B77629" w:rsidRDefault="003B499D" w:rsidP="00B77629">
      <w:pPr>
        <w:pStyle w:val="BodyText0"/>
        <w:ind w:right="-1"/>
        <w:rPr>
          <w:rFonts w:ascii="Arial" w:hAnsi="Arial" w:cs="Arial"/>
          <w:bCs/>
          <w:szCs w:val="22"/>
        </w:rPr>
      </w:pPr>
    </w:p>
    <w:p w:rsidR="003B499D" w:rsidRPr="00B77629" w:rsidRDefault="003B499D" w:rsidP="00B7762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Для заключения договоров страхования и оценки страховых рисков Страхователь по запросу Страховщика обязан предоставить Страховщику необходимые документы и информацию. Страховщик имеет право затребовать у Страхователя любые </w:t>
      </w:r>
      <w:r w:rsidRPr="00B77629">
        <w:rPr>
          <w:rFonts w:ascii="Arial" w:hAnsi="Arial" w:cs="Arial"/>
          <w:bCs/>
          <w:sz w:val="22"/>
          <w:szCs w:val="22"/>
        </w:rPr>
        <w:t>из нижеперечисленных документов</w:t>
      </w:r>
      <w:r w:rsidRPr="00B77629">
        <w:rPr>
          <w:rFonts w:ascii="Arial" w:hAnsi="Arial" w:cs="Arial"/>
          <w:bCs/>
          <w:sz w:val="22"/>
          <w:szCs w:val="22"/>
        </w:rPr>
        <w:t xml:space="preserve"> и информацию: 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Заявление на страхование коммерческих (торговых) кредитов;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Копии учредительных и регистрационных документов Страхователя: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Устав, а также действующие изменения и дополнения к Уставу на дату предоставления документов (при их наличии) с отметкой об их государственной регистрации;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01 июля 2002г.;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Свидетельство о постановке на учет в налоговом органе;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Выписку из Единого государственного реестра юридических лиц, выданную не позднее 30 (тридцати) дней до даты предъявления документов; 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Документ, подтверждающий избрание (назначение) единоличного исполнительного органа (протокол/ решение, приказ о назначении): 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Доверенность, подтверждающую полномочия представителя Страхователя на заключение (подписание) договора страхования; 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Разрешения, свидетельства, сертификаты, лицензии, подтверждающие, что Страхователь имеет право осуществлять соответствующие виды деятельности (при наличии).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Бухгалтерскую и финансовую отчетность Страхователя и/или Контрагента(</w:t>
      </w:r>
      <w:proofErr w:type="spellStart"/>
      <w:r w:rsidRPr="00B77629">
        <w:rPr>
          <w:rFonts w:ascii="Arial" w:hAnsi="Arial" w:cs="Arial"/>
          <w:bCs/>
          <w:sz w:val="22"/>
          <w:szCs w:val="22"/>
        </w:rPr>
        <w:t>ов</w:t>
      </w:r>
      <w:proofErr w:type="spellEnd"/>
      <w:r w:rsidRPr="00B77629">
        <w:rPr>
          <w:rFonts w:ascii="Arial" w:hAnsi="Arial" w:cs="Arial"/>
          <w:bCs/>
          <w:sz w:val="22"/>
          <w:szCs w:val="22"/>
        </w:rPr>
        <w:t>) за последний отчетный год с отметкой налогового органа о принятии или отдельным документом о принятии налоговым органом отчетности в электронном виде, а именно: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Бухгалтерский баланс;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Отчет о прибылях и убытках;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Консолидированная финансовая отчетность за соответствующий год;</w:t>
      </w:r>
    </w:p>
    <w:p w:rsidR="003B499D" w:rsidRPr="00B77629" w:rsidRDefault="003B499D" w:rsidP="00B77629">
      <w:pPr>
        <w:pStyle w:val="ListParagraph"/>
        <w:widowControl/>
        <w:numPr>
          <w:ilvl w:val="2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Документальное подтверждение государственных органов и банков о фактическом обороте, поступлении выручки и движении денежных средств Страхователя и т.д. 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Планы и стратегии развития, сведения о представительствах, партнерах, конкурентах, клиентах, дилерах и дилерской сети, розничной и/или оптовой</w:t>
      </w:r>
      <w:r w:rsidR="00B77629" w:rsidRPr="00B77629">
        <w:rPr>
          <w:rFonts w:ascii="Arial" w:hAnsi="Arial" w:cs="Arial"/>
          <w:bCs/>
          <w:sz w:val="22"/>
          <w:szCs w:val="22"/>
        </w:rPr>
        <w:t xml:space="preserve"> </w:t>
      </w:r>
      <w:r w:rsidRPr="00B77629">
        <w:rPr>
          <w:rFonts w:ascii="Arial" w:hAnsi="Arial" w:cs="Arial"/>
          <w:bCs/>
          <w:sz w:val="22"/>
          <w:szCs w:val="22"/>
        </w:rPr>
        <w:t>сети, главных направлениях деятельности компании, динамике продаж, торговом обороте, доле рынка, информацию о принадлежности к группе компаний и</w:t>
      </w:r>
      <w:r w:rsidR="00B77629" w:rsidRPr="00B77629">
        <w:rPr>
          <w:rFonts w:ascii="Arial" w:hAnsi="Arial" w:cs="Arial"/>
          <w:bCs/>
          <w:sz w:val="22"/>
          <w:szCs w:val="22"/>
        </w:rPr>
        <w:t xml:space="preserve"> </w:t>
      </w:r>
      <w:r w:rsidRPr="00B77629">
        <w:rPr>
          <w:rFonts w:ascii="Arial" w:hAnsi="Arial" w:cs="Arial"/>
          <w:bCs/>
          <w:sz w:val="22"/>
          <w:szCs w:val="22"/>
        </w:rPr>
        <w:t>обо всех участниках группы;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Контракты, заключенные Страхователем с конкретным Контрагентом (Контрагентами), а также иные сопутствующие Контракту документы в соответствии с его условиями или положениями действующего законодательства Российской Федерации (при наличии таких документов);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Контракты, заключенные между Клиентом Страхователя и его Контрагентом, а также иные сопутствующие Контракту документы в соответствии с его условиями или положениями действующего законодательства Российской Федерации (при наличии таких документов);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Контракты, заключенные между Клиентом Страхователя и его Контрагентом, права требования по которому уступлены Страхователю (заверенные </w:t>
      </w:r>
      <w:r w:rsidRPr="00B77629">
        <w:rPr>
          <w:rFonts w:ascii="Arial" w:hAnsi="Arial" w:cs="Arial"/>
          <w:bCs/>
          <w:sz w:val="22"/>
          <w:szCs w:val="22"/>
        </w:rPr>
        <w:lastRenderedPageBreak/>
        <w:t>Страхователем копии)</w:t>
      </w:r>
      <w:r w:rsidRPr="00B77629">
        <w:rPr>
          <w:bCs/>
        </w:rPr>
        <w:footnoteReference w:id="1"/>
      </w:r>
      <w:r w:rsidRPr="00B77629">
        <w:rPr>
          <w:rFonts w:ascii="Arial" w:hAnsi="Arial" w:cs="Arial"/>
          <w:bCs/>
          <w:sz w:val="22"/>
          <w:szCs w:val="22"/>
        </w:rPr>
        <w:t xml:space="preserve">, а также иные сопутствующие Контракту документы в соответствии с его условиями или положениями действующего законодательства Российской Федерации (при наличии таких документов); 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Акт сверки взаиморасчетов, подписанный со стороны Страхователя и его Контрагента, и (или) гарантийное письмо за подписью и печатью Контрагента Страхователя с подтверждением суммы дебиторской задолженности (коммерческих кредитов) в случае, если на момент заключения</w:t>
      </w:r>
      <w:r w:rsidR="00B77629" w:rsidRPr="00B77629">
        <w:rPr>
          <w:rFonts w:ascii="Arial" w:hAnsi="Arial" w:cs="Arial"/>
          <w:bCs/>
          <w:sz w:val="22"/>
          <w:szCs w:val="22"/>
        </w:rPr>
        <w:t xml:space="preserve"> </w:t>
      </w:r>
      <w:r w:rsidRPr="00B77629">
        <w:rPr>
          <w:rFonts w:ascii="Arial" w:hAnsi="Arial" w:cs="Arial"/>
          <w:bCs/>
          <w:sz w:val="22"/>
          <w:szCs w:val="22"/>
        </w:rPr>
        <w:t>Договора у Контрагента (Контрагентов)</w:t>
      </w:r>
      <w:r w:rsidR="00B77629" w:rsidRPr="00B77629">
        <w:rPr>
          <w:rFonts w:ascii="Arial" w:hAnsi="Arial" w:cs="Arial"/>
          <w:bCs/>
          <w:sz w:val="22"/>
          <w:szCs w:val="22"/>
        </w:rPr>
        <w:t xml:space="preserve"> </w:t>
      </w:r>
      <w:r w:rsidRPr="00B77629">
        <w:rPr>
          <w:rFonts w:ascii="Arial" w:hAnsi="Arial" w:cs="Arial"/>
          <w:bCs/>
          <w:sz w:val="22"/>
          <w:szCs w:val="22"/>
        </w:rPr>
        <w:t>имелась такая дебиторская задолженность перед Страхователем (при наличии).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Корреспонденция, состоявшаяся между Страхователем и его Контрагентом по вопросам осуществления поставок и/или платежей по Контракту, участия в тендере и иных формах торгов (с предоставлением проектов документов);</w:t>
      </w:r>
    </w:p>
    <w:p w:rsidR="003B499D" w:rsidRPr="00B77629" w:rsidRDefault="003B499D" w:rsidP="00B7762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Договоры поручительства, банковские гарантии, заключенные и предоставленные для надлежащего исполнения Контракта, сведения о поручителях и гарантах (при наличии), а также иные сопутствующие Контракту договоры и соглашения (например, дилерские, дистрибьюторские, комиссионные, агентские договоры и соглашения, государственные контракты на поставку (закупку), договоры финансирования под уступку денежного требования и</w:t>
      </w:r>
      <w:r w:rsidRPr="00B77629">
        <w:rPr>
          <w:rFonts w:ascii="Arial" w:hAnsi="Arial" w:cs="Arial"/>
          <w:bCs/>
          <w:sz w:val="22"/>
          <w:szCs w:val="22"/>
        </w:rPr>
        <w:t xml:space="preserve"> </w:t>
      </w:r>
      <w:r w:rsidRPr="00B77629">
        <w:rPr>
          <w:rFonts w:ascii="Arial" w:hAnsi="Arial" w:cs="Arial"/>
          <w:bCs/>
          <w:sz w:val="22"/>
          <w:szCs w:val="22"/>
        </w:rPr>
        <w:t>т.п.) (при наличии).</w:t>
      </w:r>
    </w:p>
    <w:p w:rsidR="003B499D" w:rsidRPr="00B77629" w:rsidRDefault="003B499D" w:rsidP="00B7762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 xml:space="preserve">Все вышеуказанные документы передаются Страхователем Страховщику по акту приема-передачи. Все копии документов должны быть обязательно заверены подписью руководителя Страхователя или иного надлежащим образом уполномоченного лица и печатью организации-страхователя, и предоставлены Страховщику в бумажном виде либо направлены в электронной форме посредством факсимильной связи или по электронной почте. </w:t>
      </w:r>
    </w:p>
    <w:p w:rsidR="003B499D" w:rsidRPr="00B77629" w:rsidRDefault="003B499D" w:rsidP="00B77629">
      <w:pPr>
        <w:pStyle w:val="ListParagraph"/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B499D" w:rsidRPr="00B77629" w:rsidRDefault="003B499D" w:rsidP="00B7762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7629">
        <w:rPr>
          <w:rFonts w:ascii="Arial" w:hAnsi="Arial" w:cs="Arial"/>
          <w:bCs/>
          <w:sz w:val="22"/>
          <w:szCs w:val="22"/>
        </w:rPr>
        <w:t>При необходимости по требованию Страховщика Страхователь обязан представить подлинники документов, указанных в настоящем Приложении, либо предоставить Страховщику доступ к ним для ознакомления.</w:t>
      </w:r>
    </w:p>
    <w:sectPr w:rsidR="003B499D" w:rsidRPr="00B77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11" w:rsidRDefault="00922C11" w:rsidP="003B499D">
      <w:r>
        <w:separator/>
      </w:r>
    </w:p>
  </w:endnote>
  <w:endnote w:type="continuationSeparator" w:id="0">
    <w:p w:rsidR="00922C11" w:rsidRDefault="00922C11" w:rsidP="003B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11" w:rsidRDefault="00922C11" w:rsidP="003B499D">
      <w:r>
        <w:separator/>
      </w:r>
    </w:p>
  </w:footnote>
  <w:footnote w:type="continuationSeparator" w:id="0">
    <w:p w:rsidR="00922C11" w:rsidRDefault="00922C11" w:rsidP="003B499D">
      <w:r>
        <w:continuationSeparator/>
      </w:r>
    </w:p>
  </w:footnote>
  <w:footnote w:id="1">
    <w:p w:rsidR="003B499D" w:rsidRPr="00071361" w:rsidRDefault="003B499D" w:rsidP="003B499D">
      <w:pPr>
        <w:pStyle w:val="FootnoteText"/>
        <w:rPr>
          <w:rFonts w:ascii="Arial" w:hAnsi="Arial" w:cs="Arial"/>
          <w:sz w:val="18"/>
          <w:szCs w:val="18"/>
        </w:rPr>
      </w:pPr>
      <w:r w:rsidRPr="00071361">
        <w:rPr>
          <w:rStyle w:val="FootnoteReference"/>
          <w:rFonts w:ascii="Arial" w:hAnsi="Arial" w:cs="Arial"/>
          <w:sz w:val="18"/>
          <w:szCs w:val="18"/>
        </w:rPr>
        <w:footnoteRef/>
      </w:r>
      <w:r w:rsidRPr="00071361">
        <w:rPr>
          <w:rFonts w:ascii="Arial" w:hAnsi="Arial" w:cs="Arial"/>
          <w:sz w:val="18"/>
          <w:szCs w:val="18"/>
        </w:rPr>
        <w:t xml:space="preserve"> При страховании риска убытков от неплатежа, связанного с договором факторинга.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29" w:rsidRDefault="00B776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-309245</wp:posOffset>
          </wp:positionV>
          <wp:extent cx="2000250" cy="677545"/>
          <wp:effectExtent l="0" t="0" r="0" b="8255"/>
          <wp:wrapNone/>
          <wp:docPr id="1" name="Picture 1" descr="C:\Users\u00048\AppData\Local\Microsoft\Windows\Temporary Internet Files\Content.Outlook\PNIZ0LNI\--TА--TВ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00048\AppData\Local\Microsoft\Windows\Temporary Internet Files\Content.Outlook\PNIZ0LNI\--TА--TВ 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31"/>
    <w:multiLevelType w:val="multilevel"/>
    <w:tmpl w:val="074A1BC2"/>
    <w:lvl w:ilvl="0">
      <w:start w:val="1"/>
      <w:numFmt w:val="decimal"/>
      <w:pStyle w:val="Numberedbulletleve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pStyle w:val="Numberedbulletlevel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Numberedbulletlevel3"/>
      <w:lvlText w:val="%1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 w15:restartNumberingAfterBreak="0">
    <w:nsid w:val="38A25E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B4F14"/>
    <w:multiLevelType w:val="multilevel"/>
    <w:tmpl w:val="8DF44184"/>
    <w:lvl w:ilvl="0">
      <w:start w:val="1"/>
      <w:numFmt w:val="bullet"/>
      <w:pStyle w:val="Bulletlevel1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color w:val="EA5329"/>
        <w:sz w:val="20"/>
      </w:rPr>
    </w:lvl>
    <w:lvl w:ilvl="1">
      <w:start w:val="1"/>
      <w:numFmt w:val="bullet"/>
      <w:pStyle w:val="Bulletlevel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/>
        <w:i w:val="0"/>
        <w:color w:val="EA5329"/>
        <w:sz w:val="20"/>
      </w:rPr>
    </w:lvl>
    <w:lvl w:ilvl="2">
      <w:start w:val="1"/>
      <w:numFmt w:val="bullet"/>
      <w:pStyle w:val="Bulletlevel3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b/>
        <w:i w:val="0"/>
        <w:color w:val="EA5329"/>
        <w:sz w:val="20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b/>
        <w:i w:val="0"/>
        <w:color w:val="EA5329"/>
        <w:sz w:val="32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Arial" w:hAnsi="Arial" w:hint="default"/>
        <w:b/>
        <w:i w:val="0"/>
        <w:color w:val="EA5329"/>
        <w:sz w:val="3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b/>
        <w:i w:val="0"/>
        <w:color w:val="EA5329"/>
        <w:sz w:val="32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hint="default"/>
        <w:b/>
        <w:i w:val="0"/>
        <w:color w:val="EA5329"/>
        <w:sz w:val="3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  <w:b/>
        <w:i w:val="0"/>
        <w:color w:val="EA5329"/>
        <w:sz w:val="32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hint="default"/>
        <w:b/>
        <w:i w:val="0"/>
        <w:color w:val="EA5329"/>
        <w:sz w:val="32"/>
      </w:rPr>
    </w:lvl>
  </w:abstractNum>
  <w:abstractNum w:abstractNumId="3" w15:restartNumberingAfterBreak="0">
    <w:nsid w:val="71DB3723"/>
    <w:multiLevelType w:val="hybridMultilevel"/>
    <w:tmpl w:val="457C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D"/>
    <w:rsid w:val="0001372C"/>
    <w:rsid w:val="003B499D"/>
    <w:rsid w:val="006F3C69"/>
    <w:rsid w:val="00922C11"/>
    <w:rsid w:val="00B77629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10C9"/>
  <w15:chartTrackingRefBased/>
  <w15:docId w15:val="{3EBFEB17-9659-4DAF-B5C4-76B4A1C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9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_Title"/>
    <w:basedOn w:val="Normal"/>
    <w:qFormat/>
    <w:rsid w:val="0001372C"/>
    <w:pPr>
      <w:spacing w:line="390" w:lineRule="exact"/>
    </w:pPr>
    <w:rPr>
      <w:caps/>
      <w:color w:val="E3681F" w:themeColor="text2"/>
      <w:position w:val="-4"/>
      <w:sz w:val="48"/>
    </w:rPr>
  </w:style>
  <w:style w:type="paragraph" w:customStyle="1" w:styleId="Bodytext">
    <w:name w:val="_Body text"/>
    <w:basedOn w:val="Normal"/>
    <w:qFormat/>
    <w:rsid w:val="0001372C"/>
  </w:style>
  <w:style w:type="paragraph" w:customStyle="1" w:styleId="Bulletlevel3">
    <w:name w:val="_Bullet level 3"/>
    <w:basedOn w:val="Normal"/>
    <w:qFormat/>
    <w:rsid w:val="0001372C"/>
    <w:pPr>
      <w:numPr>
        <w:ilvl w:val="2"/>
        <w:numId w:val="15"/>
      </w:numPr>
      <w:spacing w:line="200" w:lineRule="atLeast"/>
    </w:pPr>
  </w:style>
  <w:style w:type="paragraph" w:customStyle="1" w:styleId="Bulletlevel2">
    <w:name w:val="_Bullet level 2"/>
    <w:basedOn w:val="Normal"/>
    <w:next w:val="Bulletlevel3"/>
    <w:qFormat/>
    <w:rsid w:val="0001372C"/>
    <w:pPr>
      <w:numPr>
        <w:ilvl w:val="1"/>
        <w:numId w:val="15"/>
      </w:numPr>
      <w:spacing w:line="200" w:lineRule="atLeast"/>
    </w:pPr>
  </w:style>
  <w:style w:type="paragraph" w:customStyle="1" w:styleId="Bulletlevel1">
    <w:name w:val="_Bullet level 1"/>
    <w:basedOn w:val="Normal"/>
    <w:next w:val="Bulletlevel2"/>
    <w:qFormat/>
    <w:rsid w:val="0001372C"/>
    <w:pPr>
      <w:numPr>
        <w:numId w:val="15"/>
      </w:numPr>
      <w:spacing w:line="200" w:lineRule="atLeast"/>
    </w:pPr>
  </w:style>
  <w:style w:type="paragraph" w:customStyle="1" w:styleId="Heading1">
    <w:name w:val="_Heading 1"/>
    <w:basedOn w:val="Normal"/>
    <w:next w:val="Bodytext"/>
    <w:qFormat/>
    <w:rsid w:val="0001372C"/>
    <w:pPr>
      <w:spacing w:line="200" w:lineRule="atLeast"/>
    </w:pPr>
    <w:rPr>
      <w:b/>
    </w:rPr>
  </w:style>
  <w:style w:type="paragraph" w:customStyle="1" w:styleId="AlertRiskManagement">
    <w:name w:val="_Alert / Risk Management"/>
    <w:basedOn w:val="Normal"/>
    <w:semiHidden/>
    <w:qFormat/>
    <w:rsid w:val="0001372C"/>
    <w:pPr>
      <w:framePr w:hSpace="181" w:wrap="around" w:vAnchor="page" w:hAnchor="margin" w:y="1022"/>
      <w:spacing w:line="336" w:lineRule="exact"/>
      <w:suppressOverlap/>
    </w:pPr>
    <w:rPr>
      <w:b/>
      <w:color w:val="702700"/>
      <w:sz w:val="28"/>
    </w:rPr>
  </w:style>
  <w:style w:type="paragraph" w:customStyle="1" w:styleId="Numberedbulletlevel1">
    <w:name w:val="_Numbered bullet level 1"/>
    <w:basedOn w:val="Normal"/>
    <w:next w:val="Bulletlevel1"/>
    <w:qFormat/>
    <w:rsid w:val="0001372C"/>
    <w:pPr>
      <w:numPr>
        <w:numId w:val="18"/>
      </w:numPr>
      <w:spacing w:line="200" w:lineRule="atLeast"/>
      <w:contextualSpacing/>
    </w:pPr>
  </w:style>
  <w:style w:type="paragraph" w:customStyle="1" w:styleId="Numberedbulletlevel2">
    <w:name w:val="_Numbered bullet level 2"/>
    <w:basedOn w:val="Normal"/>
    <w:next w:val="Bulletlevel1"/>
    <w:qFormat/>
    <w:rsid w:val="0001372C"/>
    <w:pPr>
      <w:numPr>
        <w:ilvl w:val="1"/>
        <w:numId w:val="18"/>
      </w:numPr>
      <w:spacing w:line="200" w:lineRule="atLeast"/>
      <w:contextualSpacing/>
    </w:pPr>
  </w:style>
  <w:style w:type="paragraph" w:customStyle="1" w:styleId="Numberedbulletlevel3">
    <w:name w:val="_Numbered bullet level 3"/>
    <w:basedOn w:val="Normal"/>
    <w:next w:val="Bulletlevel1"/>
    <w:qFormat/>
    <w:rsid w:val="0001372C"/>
    <w:pPr>
      <w:numPr>
        <w:ilvl w:val="2"/>
        <w:numId w:val="18"/>
      </w:numPr>
      <w:spacing w:line="200" w:lineRule="atLeast"/>
      <w:contextualSpacing/>
    </w:pPr>
  </w:style>
  <w:style w:type="paragraph" w:customStyle="1" w:styleId="Charttextfirstcol">
    <w:name w:val="_Chart text first col"/>
    <w:basedOn w:val="Normal"/>
    <w:qFormat/>
    <w:rsid w:val="0001372C"/>
    <w:pPr>
      <w:spacing w:line="160" w:lineRule="exact"/>
    </w:pPr>
    <w:rPr>
      <w:b/>
      <w:color w:val="E3681F" w:themeColor="text2"/>
      <w:sz w:val="13"/>
    </w:rPr>
  </w:style>
  <w:style w:type="paragraph" w:styleId="BodyText0">
    <w:name w:val="Body Text"/>
    <w:basedOn w:val="Normal"/>
    <w:link w:val="BodyTextChar"/>
    <w:rsid w:val="003B499D"/>
    <w:pPr>
      <w:widowControl/>
      <w:spacing w:line="244" w:lineRule="exact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0"/>
    <w:rsid w:val="003B499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itle0">
    <w:name w:val="Title"/>
    <w:basedOn w:val="Normal"/>
    <w:link w:val="TitleChar"/>
    <w:qFormat/>
    <w:rsid w:val="003B499D"/>
    <w:pPr>
      <w:jc w:val="center"/>
    </w:pPr>
    <w:rPr>
      <w:rFonts w:ascii="Times New Roman" w:hAnsi="Times New Roman"/>
      <w:b/>
      <w:bCs/>
      <w:sz w:val="22"/>
      <w:lang w:val="x-none"/>
    </w:rPr>
  </w:style>
  <w:style w:type="character" w:customStyle="1" w:styleId="TitleChar">
    <w:name w:val="Title Char"/>
    <w:basedOn w:val="DefaultParagraphFont"/>
    <w:link w:val="Title0"/>
    <w:rsid w:val="003B499D"/>
    <w:rPr>
      <w:rFonts w:ascii="Times New Roman" w:eastAsia="Times New Roman" w:hAnsi="Times New Roman" w:cs="Times New Roman"/>
      <w:b/>
      <w:bCs/>
      <w:szCs w:val="20"/>
      <w:lang w:val="x-none" w:eastAsia="ru-RU"/>
    </w:rPr>
  </w:style>
  <w:style w:type="paragraph" w:styleId="FootnoteText">
    <w:name w:val="footnote text"/>
    <w:basedOn w:val="Normal"/>
    <w:link w:val="FootnoteTextChar"/>
    <w:semiHidden/>
    <w:rsid w:val="003B499D"/>
    <w:rPr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B499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rsid w:val="003B499D"/>
    <w:rPr>
      <w:vertAlign w:val="superscript"/>
    </w:rPr>
  </w:style>
  <w:style w:type="paragraph" w:customStyle="1" w:styleId="-11">
    <w:name w:val="Цветной список - Акцент 11"/>
    <w:basedOn w:val="Normal"/>
    <w:uiPriority w:val="34"/>
    <w:qFormat/>
    <w:rsid w:val="003B499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4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77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2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77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2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7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redendo">
      <a:dk1>
        <a:srgbClr val="685648"/>
      </a:dk1>
      <a:lt1>
        <a:srgbClr val="FFFFFF"/>
      </a:lt1>
      <a:dk2>
        <a:srgbClr val="E3681F"/>
      </a:dk2>
      <a:lt2>
        <a:srgbClr val="FFFFFF"/>
      </a:lt2>
      <a:accent1>
        <a:srgbClr val="AE2D15"/>
      </a:accent1>
      <a:accent2>
        <a:srgbClr val="E19A1E"/>
      </a:accent2>
      <a:accent3>
        <a:srgbClr val="250201"/>
      </a:accent3>
      <a:accent4>
        <a:srgbClr val="702700"/>
      </a:accent4>
      <a:accent5>
        <a:srgbClr val="E3681F"/>
      </a:accent5>
      <a:accent6>
        <a:srgbClr val="C6B8AF"/>
      </a:accent6>
      <a:hlink>
        <a:srgbClr val="685648"/>
      </a:hlink>
      <a:folHlink>
        <a:srgbClr val="6856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Credendo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Fedor</dc:creator>
  <cp:keywords/>
  <dc:description/>
  <cp:lastModifiedBy>Vasin Fedor</cp:lastModifiedBy>
  <cp:revision>2</cp:revision>
  <dcterms:created xsi:type="dcterms:W3CDTF">2022-02-04T12:35:00Z</dcterms:created>
  <dcterms:modified xsi:type="dcterms:W3CDTF">2022-02-04T12:40:00Z</dcterms:modified>
</cp:coreProperties>
</file>