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52" w:rsidRPr="0078015E" w:rsidRDefault="00434652" w:rsidP="00717651">
      <w:pPr>
        <w:pStyle w:val="Bodytext"/>
        <w:rPr>
          <w:i w:val="0"/>
          <w:color w:val="702700"/>
          <w:sz w:val="30"/>
          <w:szCs w:val="30"/>
          <w:lang w:val="cs-CZ"/>
        </w:rPr>
      </w:pPr>
      <w:bookmarkStart w:id="0" w:name="_GoBack"/>
      <w:bookmarkEnd w:id="0"/>
      <w:r w:rsidRPr="0078015E">
        <w:rPr>
          <w:i w:val="0"/>
          <w:color w:val="702700"/>
          <w:sz w:val="30"/>
          <w:szCs w:val="30"/>
          <w:lang w:val="cs-CZ"/>
        </w:rPr>
        <w:t>Credendo – Short-term EU Risks úvěrová pojišťovna, a.s.</w:t>
      </w:r>
    </w:p>
    <w:p w:rsidR="00717651" w:rsidRPr="0078015E" w:rsidRDefault="00717651" w:rsidP="00717651">
      <w:pPr>
        <w:pStyle w:val="Title"/>
        <w:spacing w:line="360" w:lineRule="auto"/>
        <w:rPr>
          <w:i w:val="0"/>
          <w:color w:val="702700"/>
          <w:sz w:val="30"/>
          <w:szCs w:val="30"/>
          <w:lang w:val="cs-CZ"/>
        </w:rPr>
      </w:pPr>
    </w:p>
    <w:p w:rsidR="00717651" w:rsidRPr="0078015E" w:rsidRDefault="00434652" w:rsidP="00C770E2">
      <w:pPr>
        <w:pStyle w:val="Title"/>
        <w:spacing w:line="480" w:lineRule="exact"/>
        <w:contextualSpacing/>
        <w:rPr>
          <w:i w:val="0"/>
          <w:color w:val="702700"/>
          <w:szCs w:val="48"/>
          <w:lang w:val="cs-CZ"/>
        </w:rPr>
      </w:pPr>
      <w:r w:rsidRPr="0078015E">
        <w:rPr>
          <w:i w:val="0"/>
          <w:color w:val="702700"/>
          <w:szCs w:val="48"/>
          <w:lang w:val="cs-CZ"/>
        </w:rPr>
        <w:t>INFORMACE O SPOLEČNOSTI</w:t>
      </w:r>
    </w:p>
    <w:p w:rsidR="00434652" w:rsidRPr="0078015E" w:rsidRDefault="000C441C" w:rsidP="00C770E2">
      <w:pPr>
        <w:pStyle w:val="Bodytext"/>
        <w:spacing w:line="480" w:lineRule="exact"/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t xml:space="preserve">k </w:t>
      </w:r>
      <w:r w:rsidR="00012B16">
        <w:rPr>
          <w:i w:val="0"/>
          <w:color w:val="702700"/>
          <w:sz w:val="30"/>
          <w:szCs w:val="30"/>
          <w:lang w:val="cs-CZ"/>
        </w:rPr>
        <w:t>31</w:t>
      </w:r>
      <w:r w:rsidR="00434652" w:rsidRPr="0078015E">
        <w:rPr>
          <w:i w:val="0"/>
          <w:color w:val="702700"/>
          <w:sz w:val="30"/>
          <w:szCs w:val="30"/>
          <w:lang w:val="cs-CZ"/>
        </w:rPr>
        <w:t xml:space="preserve">. </w:t>
      </w:r>
      <w:r w:rsidR="00012B16">
        <w:rPr>
          <w:i w:val="0"/>
          <w:color w:val="702700"/>
          <w:sz w:val="30"/>
          <w:szCs w:val="30"/>
          <w:lang w:val="cs-CZ"/>
        </w:rPr>
        <w:t>prosinci</w:t>
      </w:r>
      <w:r w:rsidR="00434652" w:rsidRPr="0078015E">
        <w:rPr>
          <w:i w:val="0"/>
          <w:color w:val="702700"/>
          <w:sz w:val="30"/>
          <w:szCs w:val="30"/>
          <w:lang w:val="cs-CZ"/>
        </w:rPr>
        <w:t xml:space="preserve"> 201</w:t>
      </w:r>
      <w:r w:rsidR="00550BD1" w:rsidRPr="0078015E">
        <w:rPr>
          <w:i w:val="0"/>
          <w:color w:val="702700"/>
          <w:sz w:val="30"/>
          <w:szCs w:val="30"/>
          <w:lang w:val="cs-CZ"/>
        </w:rPr>
        <w:t>7</w:t>
      </w:r>
    </w:p>
    <w:p w:rsidR="00434652" w:rsidRPr="0078015E" w:rsidRDefault="00434652" w:rsidP="00717651">
      <w:pPr>
        <w:pStyle w:val="Bodytext"/>
        <w:rPr>
          <w:rFonts w:cs="Arial"/>
          <w:i w:val="0"/>
          <w:lang w:val="cs-CZ"/>
        </w:rPr>
      </w:pPr>
    </w:p>
    <w:p w:rsidR="00DD45AC" w:rsidRPr="0078015E" w:rsidRDefault="00DD45AC" w:rsidP="00717651">
      <w:pPr>
        <w:pStyle w:val="Bodytext"/>
        <w:rPr>
          <w:rFonts w:cs="Arial"/>
          <w:i w:val="0"/>
          <w:lang w:val="cs-CZ"/>
        </w:rPr>
      </w:pPr>
    </w:p>
    <w:p w:rsidR="00DD45AC" w:rsidRPr="0078015E" w:rsidRDefault="00DD45AC" w:rsidP="000C441C">
      <w:pPr>
        <w:pStyle w:val="Bodytext"/>
        <w:rPr>
          <w:rFonts w:cs="Arial"/>
          <w:lang w:val="cs-CZ"/>
        </w:rPr>
      </w:pPr>
    </w:p>
    <w:p w:rsidR="000C441C" w:rsidRPr="0078015E" w:rsidRDefault="000C441C" w:rsidP="000C441C">
      <w:pPr>
        <w:pStyle w:val="Bodytext"/>
        <w:rPr>
          <w:rFonts w:cs="Arial"/>
          <w:lang w:val="cs-CZ"/>
        </w:rPr>
      </w:pPr>
    </w:p>
    <w:p w:rsidR="00DD45AC" w:rsidRPr="0078015E" w:rsidRDefault="00DD45AC" w:rsidP="000C441C">
      <w:pPr>
        <w:pStyle w:val="Bodytext"/>
        <w:rPr>
          <w:rFonts w:cs="Arial"/>
          <w:lang w:val="cs-CZ"/>
        </w:rPr>
      </w:pPr>
    </w:p>
    <w:p w:rsidR="00DD45AC" w:rsidRPr="0078015E" w:rsidRDefault="00DD45AC" w:rsidP="000C441C">
      <w:pPr>
        <w:pStyle w:val="Bodytext"/>
        <w:rPr>
          <w:rFonts w:cs="Arial"/>
          <w:lang w:val="cs-CZ"/>
        </w:rPr>
      </w:pPr>
    </w:p>
    <w:p w:rsidR="00DD45AC" w:rsidRPr="0078015E" w:rsidRDefault="00DD45AC" w:rsidP="000C441C">
      <w:pPr>
        <w:pStyle w:val="Bodytext"/>
        <w:rPr>
          <w:rFonts w:cs="Arial"/>
          <w:lang w:val="cs-CZ"/>
        </w:rPr>
      </w:pPr>
    </w:p>
    <w:p w:rsidR="000C441C" w:rsidRPr="0078015E" w:rsidRDefault="000C441C" w:rsidP="000C441C">
      <w:pPr>
        <w:pStyle w:val="Bodytext"/>
        <w:rPr>
          <w:rFonts w:cs="Arial"/>
          <w:lang w:val="cs-CZ"/>
        </w:rPr>
      </w:pPr>
    </w:p>
    <w:p w:rsidR="000C441C" w:rsidRPr="0078015E" w:rsidRDefault="000C441C" w:rsidP="000C441C">
      <w:pPr>
        <w:pStyle w:val="Bodytext"/>
        <w:rPr>
          <w:rFonts w:cs="Arial"/>
          <w:lang w:val="cs-CZ"/>
        </w:rPr>
      </w:pPr>
    </w:p>
    <w:p w:rsidR="000C441C" w:rsidRPr="0078015E" w:rsidRDefault="000C441C" w:rsidP="000C441C">
      <w:pPr>
        <w:pStyle w:val="Bodytext"/>
        <w:rPr>
          <w:rFonts w:cs="Arial"/>
          <w:lang w:val="cs-CZ"/>
        </w:rPr>
      </w:pPr>
    </w:p>
    <w:p w:rsidR="000C441C" w:rsidRPr="0078015E" w:rsidRDefault="000C441C" w:rsidP="000C441C">
      <w:pPr>
        <w:pStyle w:val="Bodytext"/>
        <w:rPr>
          <w:rFonts w:cs="Arial"/>
          <w:i w:val="0"/>
          <w:lang w:val="cs-CZ"/>
        </w:rPr>
      </w:pP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702700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702700"/>
          <w:lang w:val="cs-CZ"/>
        </w:rPr>
        <w:t>OBSAH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702700"/>
          <w:lang w:val="cs-CZ"/>
        </w:rPr>
        <w:t>strana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Informace o hospodaření společnosti: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Textová část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2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Tabulková část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3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 xml:space="preserve">Základní údaje o společnosti 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5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Údaje o činnosti společnosti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6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Údaje o složení akcionářů společnosti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6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Údaje o struktuře skupiny, jejímž je společnost členem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6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Organizační struktura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7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Dozorčí rada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</w:t>
      </w:r>
      <w:r w:rsidR="00163C33" w:rsidRPr="0078015E">
        <w:rPr>
          <w:rStyle w:val="SubtleEmphasis1"/>
          <w:rFonts w:ascii="Arial" w:hAnsi="Arial" w:cs="Arial"/>
          <w:iCs w:val="0"/>
          <w:color w:val="auto"/>
          <w:lang w:val="cs-CZ"/>
        </w:rPr>
        <w:t>8</w:t>
      </w:r>
    </w:p>
    <w:p w:rsidR="000C441C" w:rsidRPr="0078015E" w:rsidRDefault="000C441C" w:rsidP="000C441C">
      <w:pPr>
        <w:pStyle w:val="Bodytext"/>
        <w:rPr>
          <w:rStyle w:val="SubtleEmphasis1"/>
          <w:rFonts w:ascii="Arial" w:hAnsi="Arial" w:cs="Arial"/>
          <w:iCs w:val="0"/>
          <w:color w:val="auto"/>
          <w:lang w:val="cs-CZ"/>
        </w:rPr>
      </w:pP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>Představenstvo</w:t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  <w:lang w:val="cs-CZ"/>
        </w:rPr>
        <w:tab/>
        <w:t xml:space="preserve">    </w:t>
      </w:r>
      <w:r w:rsidR="00163C33" w:rsidRPr="0078015E">
        <w:rPr>
          <w:rStyle w:val="SubtleEmphasis1"/>
          <w:rFonts w:ascii="Arial" w:hAnsi="Arial" w:cs="Arial"/>
          <w:iCs w:val="0"/>
          <w:color w:val="auto"/>
          <w:lang w:val="cs-CZ"/>
        </w:rPr>
        <w:t>9</w:t>
      </w:r>
    </w:p>
    <w:p w:rsidR="000C441C" w:rsidRPr="0078015E" w:rsidRDefault="000C441C" w:rsidP="000C441C">
      <w:pPr>
        <w:rPr>
          <w:rStyle w:val="SubtleEmphasis1"/>
          <w:rFonts w:ascii="Arial" w:hAnsi="Arial" w:cs="Arial"/>
          <w:iCs w:val="0"/>
          <w:color w:val="auto"/>
        </w:rPr>
      </w:pPr>
      <w:r w:rsidRPr="0078015E">
        <w:rPr>
          <w:rStyle w:val="SubtleEmphasis1"/>
          <w:rFonts w:ascii="Arial" w:hAnsi="Arial" w:cs="Arial"/>
          <w:iCs w:val="0"/>
          <w:color w:val="auto"/>
        </w:rPr>
        <w:t>Úvěry, půjčky a záruky poskytnuté členům statutárních orgánů</w:t>
      </w:r>
      <w:r w:rsidRPr="0078015E">
        <w:rPr>
          <w:rStyle w:val="SubtleEmphasis1"/>
          <w:rFonts w:ascii="Arial" w:hAnsi="Arial" w:cs="Arial"/>
          <w:iCs w:val="0"/>
          <w:color w:val="auto"/>
        </w:rPr>
        <w:tab/>
      </w:r>
      <w:r w:rsidRPr="0078015E">
        <w:rPr>
          <w:rStyle w:val="SubtleEmphasis1"/>
          <w:rFonts w:ascii="Arial" w:hAnsi="Arial" w:cs="Arial"/>
          <w:iCs w:val="0"/>
          <w:color w:val="auto"/>
        </w:rPr>
        <w:tab/>
        <w:t xml:space="preserve">    </w:t>
      </w:r>
      <w:r w:rsidR="00163C33" w:rsidRPr="0078015E">
        <w:rPr>
          <w:rStyle w:val="SubtleEmphasis1"/>
          <w:rFonts w:ascii="Arial" w:hAnsi="Arial" w:cs="Arial"/>
          <w:iCs w:val="0"/>
          <w:color w:val="auto"/>
        </w:rPr>
        <w:t>9</w:t>
      </w:r>
    </w:p>
    <w:p w:rsidR="00434652" w:rsidRPr="0078015E" w:rsidRDefault="00434652">
      <w:pPr>
        <w:spacing w:line="276" w:lineRule="auto"/>
        <w:rPr>
          <w:rFonts w:ascii="Myriad Pro" w:hAnsi="Myriad Pro"/>
          <w:i w:val="0"/>
          <w:color w:val="821414"/>
          <w:sz w:val="36"/>
          <w:szCs w:val="36"/>
        </w:rPr>
      </w:pPr>
    </w:p>
    <w:p w:rsidR="000C441C" w:rsidRPr="0078015E" w:rsidRDefault="000C441C">
      <w:pPr>
        <w:spacing w:line="276" w:lineRule="auto"/>
        <w:rPr>
          <w:rFonts w:ascii="Myriad Pro" w:hAnsi="Myriad Pro"/>
          <w:i w:val="0"/>
          <w:color w:val="821414"/>
          <w:sz w:val="36"/>
          <w:szCs w:val="36"/>
        </w:rPr>
      </w:pPr>
    </w:p>
    <w:p w:rsidR="000C441C" w:rsidRPr="0078015E" w:rsidRDefault="000C441C">
      <w:pPr>
        <w:spacing w:line="276" w:lineRule="auto"/>
        <w:rPr>
          <w:rFonts w:ascii="Myriad Pro" w:hAnsi="Myriad Pro"/>
          <w:i w:val="0"/>
          <w:color w:val="821414"/>
          <w:sz w:val="36"/>
          <w:szCs w:val="36"/>
        </w:rPr>
      </w:pPr>
    </w:p>
    <w:p w:rsidR="000C441C" w:rsidRPr="0078015E" w:rsidRDefault="000C441C">
      <w:pPr>
        <w:spacing w:line="276" w:lineRule="auto"/>
        <w:rPr>
          <w:rFonts w:ascii="Myriad Pro" w:hAnsi="Myriad Pro"/>
          <w:i w:val="0"/>
          <w:color w:val="821414"/>
          <w:sz w:val="36"/>
          <w:szCs w:val="36"/>
        </w:rPr>
      </w:pPr>
    </w:p>
    <w:p w:rsidR="000C441C" w:rsidRPr="0078015E" w:rsidRDefault="000C441C">
      <w:pPr>
        <w:spacing w:line="276" w:lineRule="auto"/>
        <w:rPr>
          <w:rFonts w:ascii="Myriad Pro" w:hAnsi="Myriad Pro"/>
          <w:i w:val="0"/>
          <w:color w:val="821414"/>
          <w:sz w:val="36"/>
          <w:szCs w:val="36"/>
        </w:rPr>
      </w:pPr>
    </w:p>
    <w:p w:rsidR="00434652" w:rsidRPr="004E1BFE" w:rsidRDefault="00434652" w:rsidP="00434652">
      <w:pPr>
        <w:pStyle w:val="Bodytext"/>
        <w:rPr>
          <w:i w:val="0"/>
          <w:color w:val="6D5A4E" w:themeColor="accent6" w:themeShade="80"/>
          <w:lang w:val="cs-CZ"/>
        </w:rPr>
      </w:pPr>
      <w:r w:rsidRPr="0078015E">
        <w:rPr>
          <w:rFonts w:cs="Arial"/>
          <w:i w:val="0"/>
          <w:lang w:val="cs-CZ"/>
        </w:rPr>
        <w:t xml:space="preserve">Zveřejněno na internetových stránkách Credendo – Short –Term EU Risks úvěrová pojišťovna, a.s. </w:t>
      </w:r>
      <w:hyperlink r:id="rId8" w:history="1">
        <w:r w:rsidR="004E1BFE" w:rsidRPr="004E1BFE">
          <w:rPr>
            <w:rStyle w:val="Hyperlink"/>
            <w:rFonts w:cs="Arial"/>
            <w:i w:val="0"/>
            <w:color w:val="6D5A4E" w:themeColor="accent6" w:themeShade="80"/>
            <w:lang w:val="cs-CZ"/>
          </w:rPr>
          <w:t>www.credendo.com</w:t>
        </w:r>
      </w:hyperlink>
      <w:r w:rsidR="004E1BFE" w:rsidRPr="004E1BFE">
        <w:rPr>
          <w:rFonts w:cs="Arial"/>
          <w:i w:val="0"/>
          <w:color w:val="6D5A4E" w:themeColor="accent6" w:themeShade="80"/>
          <w:lang w:val="cs-CZ"/>
        </w:rPr>
        <w:t xml:space="preserve"> </w:t>
      </w:r>
    </w:p>
    <w:p w:rsidR="00434652" w:rsidRPr="0078015E" w:rsidRDefault="00434652">
      <w:pPr>
        <w:spacing w:line="276" w:lineRule="auto"/>
        <w:rPr>
          <w:rFonts w:ascii="Myriad Pro" w:hAnsi="Myriad Pro"/>
          <w:i w:val="0"/>
          <w:color w:val="821414"/>
          <w:sz w:val="36"/>
          <w:szCs w:val="36"/>
        </w:rPr>
      </w:pPr>
      <w:r w:rsidRPr="0078015E">
        <w:rPr>
          <w:rFonts w:ascii="Myriad Pro" w:hAnsi="Myriad Pro"/>
          <w:i w:val="0"/>
          <w:color w:val="821414"/>
          <w:sz w:val="36"/>
          <w:szCs w:val="36"/>
        </w:rPr>
        <w:br w:type="page"/>
      </w: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lastRenderedPageBreak/>
        <w:t>Informace o hospodaření společnosti</w:t>
      </w:r>
    </w:p>
    <w:p w:rsidR="000C441C" w:rsidRPr="0078015E" w:rsidRDefault="000C441C" w:rsidP="000C441C">
      <w:pPr>
        <w:pStyle w:val="Bodytext"/>
        <w:rPr>
          <w:i w:val="0"/>
          <w:lang w:val="cs-CZ"/>
        </w:rPr>
      </w:pPr>
    </w:p>
    <w:p w:rsidR="000C441C" w:rsidRPr="0078015E" w:rsidRDefault="00DD45AC" w:rsidP="000C441C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Společnost </w:t>
      </w:r>
      <w:r w:rsidR="00717651" w:rsidRPr="0078015E">
        <w:rPr>
          <w:i w:val="0"/>
          <w:lang w:val="cs-CZ"/>
        </w:rPr>
        <w:t>Credendo – Short-Term EU Risks</w:t>
      </w:r>
      <w:r w:rsidRPr="0078015E">
        <w:rPr>
          <w:i w:val="0"/>
          <w:lang w:val="cs-CZ"/>
        </w:rPr>
        <w:t xml:space="preserve"> úvěrová pojišťovna, a.s. informuje o svých hospodářských výsledcích k </w:t>
      </w:r>
      <w:r w:rsidR="00012B16">
        <w:rPr>
          <w:i w:val="0"/>
          <w:lang w:val="cs-CZ"/>
        </w:rPr>
        <w:t>31</w:t>
      </w:r>
      <w:r w:rsidRPr="0078015E">
        <w:rPr>
          <w:i w:val="0"/>
          <w:lang w:val="cs-CZ"/>
        </w:rPr>
        <w:t xml:space="preserve">. </w:t>
      </w:r>
      <w:r w:rsidR="00012B16">
        <w:rPr>
          <w:i w:val="0"/>
          <w:lang w:val="cs-CZ"/>
        </w:rPr>
        <w:t>prosinci</w:t>
      </w:r>
      <w:r w:rsidRPr="0078015E">
        <w:rPr>
          <w:i w:val="0"/>
          <w:lang w:val="cs-CZ"/>
        </w:rPr>
        <w:t xml:space="preserve"> roku 201</w:t>
      </w:r>
      <w:r w:rsidR="00550BD1" w:rsidRPr="0078015E">
        <w:rPr>
          <w:i w:val="0"/>
          <w:lang w:val="cs-CZ"/>
        </w:rPr>
        <w:t>7</w:t>
      </w:r>
      <w:r w:rsidRPr="0078015E">
        <w:rPr>
          <w:i w:val="0"/>
          <w:lang w:val="cs-CZ"/>
        </w:rPr>
        <w:t>.</w:t>
      </w:r>
    </w:p>
    <w:p w:rsidR="00D32F4F" w:rsidRPr="003C161B" w:rsidRDefault="00D32F4F" w:rsidP="00D32F4F">
      <w:pPr>
        <w:spacing w:before="360" w:after="0" w:line="240" w:lineRule="auto"/>
        <w:jc w:val="both"/>
        <w:rPr>
          <w:rFonts w:ascii="Arial" w:hAnsi="Arial" w:cs="Arial"/>
          <w:b/>
          <w:i w:val="0"/>
        </w:rPr>
      </w:pPr>
      <w:r w:rsidRPr="003C161B">
        <w:rPr>
          <w:rFonts w:ascii="Arial" w:hAnsi="Arial" w:cs="Arial"/>
          <w:b/>
          <w:i w:val="0"/>
        </w:rPr>
        <w:t>Klíčové ukazatele:</w:t>
      </w:r>
    </w:p>
    <w:p w:rsidR="00D32F4F" w:rsidRPr="003C161B" w:rsidRDefault="00D32F4F" w:rsidP="00E273DF">
      <w:pPr>
        <w:pStyle w:val="Bulletlevel1"/>
        <w:jc w:val="both"/>
        <w:rPr>
          <w:i w:val="0"/>
          <w:lang w:val="cs-CZ"/>
        </w:rPr>
      </w:pPr>
      <w:r w:rsidRPr="003C161B">
        <w:rPr>
          <w:i w:val="0"/>
          <w:lang w:val="cs-CZ"/>
        </w:rPr>
        <w:t>Hru</w:t>
      </w:r>
      <w:r w:rsidR="00CF7124" w:rsidRPr="003C161B">
        <w:rPr>
          <w:i w:val="0"/>
          <w:lang w:val="cs-CZ"/>
        </w:rPr>
        <w:t>bé předepsané pojistné ke konci</w:t>
      </w:r>
      <w:r w:rsidR="00C86C24" w:rsidRPr="003C161B">
        <w:rPr>
          <w:i w:val="0"/>
          <w:lang w:val="cs-CZ"/>
        </w:rPr>
        <w:t xml:space="preserve"> </w:t>
      </w:r>
      <w:r w:rsidR="00C30F59" w:rsidRPr="003C161B">
        <w:rPr>
          <w:i w:val="0"/>
          <w:lang w:val="cs-CZ"/>
        </w:rPr>
        <w:t xml:space="preserve">roku 2017 </w:t>
      </w:r>
      <w:r w:rsidRPr="003C161B">
        <w:rPr>
          <w:i w:val="0"/>
          <w:lang w:val="cs-CZ"/>
        </w:rPr>
        <w:t xml:space="preserve">dosáhlo celkové částky </w:t>
      </w:r>
      <w:r w:rsidR="00CF7124" w:rsidRPr="003C161B">
        <w:rPr>
          <w:i w:val="0"/>
          <w:lang w:val="cs-CZ"/>
        </w:rPr>
        <w:t>440</w:t>
      </w:r>
      <w:r w:rsidR="00DE00F0" w:rsidRPr="003C161B">
        <w:rPr>
          <w:i w:val="0"/>
          <w:lang w:val="cs-CZ"/>
        </w:rPr>
        <w:t xml:space="preserve"> mil. Kč a </w:t>
      </w:r>
      <w:r w:rsidR="00BC1C19" w:rsidRPr="003C161B">
        <w:rPr>
          <w:i w:val="0"/>
          <w:lang w:val="cs-CZ"/>
        </w:rPr>
        <w:t>m</w:t>
      </w:r>
      <w:r w:rsidR="00CF7124" w:rsidRPr="003C161B">
        <w:rPr>
          <w:i w:val="0"/>
          <w:lang w:val="cs-CZ"/>
        </w:rPr>
        <w:t>eziročně tak vzrostlo o 21</w:t>
      </w:r>
      <w:r w:rsidR="00BC1C19" w:rsidRPr="003C161B">
        <w:rPr>
          <w:i w:val="0"/>
          <w:lang w:val="cs-CZ"/>
        </w:rPr>
        <w:t>%.</w:t>
      </w:r>
    </w:p>
    <w:p w:rsidR="00D32F4F" w:rsidRPr="003C161B" w:rsidRDefault="00CA7FBC" w:rsidP="00E273DF">
      <w:pPr>
        <w:pStyle w:val="Bulletlevel1"/>
        <w:jc w:val="both"/>
        <w:rPr>
          <w:i w:val="0"/>
          <w:lang w:val="cs-CZ"/>
        </w:rPr>
      </w:pPr>
      <w:r>
        <w:rPr>
          <w:i w:val="0"/>
          <w:lang w:val="cs-CZ"/>
        </w:rPr>
        <w:t>Celkový objem pojištěných transakcí se v porovnání s předchozím rokem zvýšil o 36%, na 302,5 mld. Kč.</w:t>
      </w:r>
    </w:p>
    <w:p w:rsidR="00CA7FBC" w:rsidRPr="00CA7FBC" w:rsidRDefault="00CA7FBC" w:rsidP="00CA7FBC">
      <w:pPr>
        <w:pStyle w:val="Bulletlevel1"/>
        <w:rPr>
          <w:lang w:val="cs-CZ" w:eastAsia="en-US"/>
        </w:rPr>
      </w:pPr>
      <w:r w:rsidRPr="003A5E14">
        <w:rPr>
          <w:i w:val="0"/>
          <w:lang w:val="cs-CZ"/>
        </w:rPr>
        <w:t>Objem hlášených pojistných událostí se v roce 2017, v porovnání s předchozím rokem, zvýšil o 11 %.</w:t>
      </w:r>
    </w:p>
    <w:p w:rsidR="00D32F4F" w:rsidRPr="00CA7FBC" w:rsidRDefault="00D32F4F" w:rsidP="00CA7FBC">
      <w:pPr>
        <w:spacing w:before="360" w:after="0" w:line="240" w:lineRule="auto"/>
        <w:jc w:val="both"/>
        <w:rPr>
          <w:rFonts w:ascii="Arial" w:hAnsi="Arial" w:cs="Arial"/>
          <w:b/>
          <w:i w:val="0"/>
        </w:rPr>
      </w:pPr>
      <w:r w:rsidRPr="00CA7FBC">
        <w:rPr>
          <w:rFonts w:ascii="Arial" w:hAnsi="Arial" w:cs="Arial"/>
          <w:b/>
          <w:i w:val="0"/>
        </w:rPr>
        <w:t>Pojištěné transakce:</w:t>
      </w:r>
      <w:r w:rsidRPr="00CA7FBC">
        <w:rPr>
          <w:rFonts w:ascii="Arial" w:hAnsi="Arial" w:cs="Arial"/>
          <w:b/>
          <w:i w:val="0"/>
        </w:rPr>
        <w:tab/>
      </w:r>
    </w:p>
    <w:p w:rsidR="00D32F4F" w:rsidRPr="003C161B" w:rsidRDefault="005D26A9" w:rsidP="006515F0">
      <w:pPr>
        <w:pStyle w:val="Bodytext"/>
        <w:jc w:val="both"/>
        <w:rPr>
          <w:i w:val="0"/>
          <w:lang w:val="cs-CZ"/>
        </w:rPr>
      </w:pPr>
      <w:r w:rsidRPr="00C646B1">
        <w:rPr>
          <w:i w:val="0"/>
          <w:lang w:val="cs-CZ"/>
        </w:rPr>
        <w:t>Klienti naší společnosti si v průběhu roku</w:t>
      </w:r>
      <w:r>
        <w:rPr>
          <w:i w:val="0"/>
          <w:lang w:val="cs-CZ"/>
        </w:rPr>
        <w:t xml:space="preserve"> 2017</w:t>
      </w:r>
      <w:r w:rsidRPr="00C646B1">
        <w:rPr>
          <w:i w:val="0"/>
          <w:lang w:val="cs-CZ"/>
        </w:rPr>
        <w:t xml:space="preserve"> pojistili transakce v celkové hodnotě přesahující </w:t>
      </w:r>
      <w:r>
        <w:rPr>
          <w:i w:val="0"/>
          <w:lang w:val="cs-CZ"/>
        </w:rPr>
        <w:t>302,5</w:t>
      </w:r>
      <w:r w:rsidRPr="00C646B1">
        <w:rPr>
          <w:i w:val="0"/>
          <w:lang w:val="cs-CZ"/>
        </w:rPr>
        <w:t xml:space="preserve"> mld. Kč. Z pohledu pojištěných transakcí zůstávají nadále klíčové pojištěné </w:t>
      </w:r>
      <w:r w:rsidR="00841E46">
        <w:rPr>
          <w:i w:val="0"/>
          <w:lang w:val="cs-CZ"/>
        </w:rPr>
        <w:t>pohledávky v České republice (30 %), Polsku (18</w:t>
      </w:r>
      <w:r w:rsidRPr="00C646B1">
        <w:rPr>
          <w:i w:val="0"/>
          <w:lang w:val="cs-CZ"/>
        </w:rPr>
        <w:t> </w:t>
      </w:r>
      <w:r w:rsidR="00841E46">
        <w:rPr>
          <w:i w:val="0"/>
          <w:lang w:val="cs-CZ"/>
        </w:rPr>
        <w:t>%), Slovensku (7 %) a Německu (5</w:t>
      </w:r>
      <w:r w:rsidRPr="00C646B1">
        <w:rPr>
          <w:i w:val="0"/>
          <w:lang w:val="cs-CZ"/>
        </w:rPr>
        <w:t> %).</w:t>
      </w:r>
    </w:p>
    <w:p w:rsidR="00812A33" w:rsidRPr="003C161B" w:rsidRDefault="00812A33" w:rsidP="006515F0">
      <w:pPr>
        <w:pStyle w:val="Bodytext"/>
        <w:jc w:val="both"/>
        <w:rPr>
          <w:i w:val="0"/>
          <w:lang w:val="cs-CZ"/>
        </w:rPr>
      </w:pPr>
    </w:p>
    <w:p w:rsidR="00812A33" w:rsidRPr="00AA65A7" w:rsidRDefault="00AA65A7" w:rsidP="00AA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 w:val="0"/>
        </w:rPr>
      </w:pPr>
      <w:r w:rsidRPr="00AA65A7">
        <w:rPr>
          <w:rFonts w:ascii="Arial" w:hAnsi="Arial"/>
          <w:i w:val="0"/>
        </w:rPr>
        <w:t>Během roku 2017 ekonomický růst v regionu dále posiloval. Hlavním důvodem byl především rozvoj průmyslové výroby a vzrůstající spotřeba domácností, což podpořilo silný růst HDP. Ke předvídatelnému ekonomickému prostředí přispívá také velmi nízká nezaměstnanost a nízká míra inflace. Zároveň stabilní vývoj měnového kurzu na finančních trzích podporuje udržitelný hospodářský růst v regionu.</w:t>
      </w:r>
    </w:p>
    <w:p w:rsidR="00AA65A7" w:rsidRPr="00AA65A7" w:rsidRDefault="00AA65A7" w:rsidP="00AA65A7">
      <w:pPr>
        <w:pStyle w:val="Bodytext"/>
        <w:rPr>
          <w:i w:val="0"/>
          <w:lang w:val="cs-CZ"/>
        </w:rPr>
      </w:pPr>
    </w:p>
    <w:p w:rsidR="00D32F4F" w:rsidRPr="00AA65A7" w:rsidRDefault="00D32F4F" w:rsidP="006515F0">
      <w:pPr>
        <w:pStyle w:val="Bodytext"/>
        <w:jc w:val="both"/>
        <w:rPr>
          <w:i w:val="0"/>
          <w:lang w:val="cs-CZ"/>
        </w:rPr>
      </w:pPr>
      <w:r w:rsidRPr="00AA65A7">
        <w:rPr>
          <w:i w:val="0"/>
          <w:lang w:val="cs-CZ"/>
        </w:rPr>
        <w:t>Geografické rozložení poskytnutého pojistného krytí pokračuje ve stabilním trendu diverzifikace rizika. Pro společnost klíčové trhy představují 7</w:t>
      </w:r>
      <w:r w:rsidR="00AA65A7" w:rsidRPr="00AA65A7">
        <w:rPr>
          <w:i w:val="0"/>
          <w:lang w:val="cs-CZ"/>
        </w:rPr>
        <w:t>1</w:t>
      </w:r>
      <w:r w:rsidR="00CE300C" w:rsidRPr="00AA65A7">
        <w:rPr>
          <w:i w:val="0"/>
          <w:lang w:val="cs-CZ"/>
        </w:rPr>
        <w:t> </w:t>
      </w:r>
      <w:r w:rsidRPr="00AA65A7">
        <w:rPr>
          <w:i w:val="0"/>
          <w:lang w:val="cs-CZ"/>
        </w:rPr>
        <w:t>% z celkového objemu pojistných limitů (ČR 3</w:t>
      </w:r>
      <w:r w:rsidR="00B621E6" w:rsidRPr="00AA65A7">
        <w:rPr>
          <w:i w:val="0"/>
          <w:lang w:val="cs-CZ"/>
        </w:rPr>
        <w:t>3</w:t>
      </w:r>
      <w:r w:rsidR="00343529" w:rsidRPr="00AA65A7">
        <w:rPr>
          <w:i w:val="0"/>
          <w:lang w:val="cs-CZ"/>
        </w:rPr>
        <w:t> </w:t>
      </w:r>
      <w:r w:rsidRPr="00AA65A7">
        <w:rPr>
          <w:i w:val="0"/>
          <w:lang w:val="cs-CZ"/>
        </w:rPr>
        <w:t>%, Polsko 2</w:t>
      </w:r>
      <w:r w:rsidR="002772DD" w:rsidRPr="00AA65A7">
        <w:rPr>
          <w:i w:val="0"/>
          <w:lang w:val="cs-CZ"/>
        </w:rPr>
        <w:t>5</w:t>
      </w:r>
      <w:r w:rsidR="00343529" w:rsidRPr="00AA65A7">
        <w:rPr>
          <w:i w:val="0"/>
          <w:lang w:val="cs-CZ"/>
        </w:rPr>
        <w:t> </w:t>
      </w:r>
      <w:r w:rsidR="002772DD" w:rsidRPr="00AA65A7">
        <w:rPr>
          <w:i w:val="0"/>
          <w:lang w:val="cs-CZ"/>
        </w:rPr>
        <w:t xml:space="preserve">%, </w:t>
      </w:r>
      <w:r w:rsidR="00AA65A7" w:rsidRPr="00AA65A7">
        <w:rPr>
          <w:i w:val="0"/>
          <w:lang w:val="cs-CZ"/>
        </w:rPr>
        <w:t>Slovensko 7</w:t>
      </w:r>
      <w:r w:rsidR="00343529" w:rsidRPr="00AA65A7">
        <w:rPr>
          <w:i w:val="0"/>
          <w:lang w:val="cs-CZ"/>
        </w:rPr>
        <w:t> </w:t>
      </w:r>
      <w:r w:rsidR="00F71B1C" w:rsidRPr="00AA65A7">
        <w:rPr>
          <w:i w:val="0"/>
          <w:lang w:val="cs-CZ"/>
        </w:rPr>
        <w:t>% a Německo</w:t>
      </w:r>
      <w:r w:rsidR="00812A33" w:rsidRPr="00AA65A7">
        <w:rPr>
          <w:i w:val="0"/>
          <w:lang w:val="cs-CZ"/>
        </w:rPr>
        <w:t xml:space="preserve"> </w:t>
      </w:r>
      <w:r w:rsidRPr="00AA65A7">
        <w:rPr>
          <w:i w:val="0"/>
          <w:lang w:val="cs-CZ"/>
        </w:rPr>
        <w:t>6</w:t>
      </w:r>
      <w:r w:rsidR="00343529" w:rsidRPr="00AA65A7">
        <w:rPr>
          <w:i w:val="0"/>
          <w:lang w:val="cs-CZ"/>
        </w:rPr>
        <w:t> </w:t>
      </w:r>
      <w:r w:rsidR="00AA65A7" w:rsidRPr="00AA65A7">
        <w:rPr>
          <w:i w:val="0"/>
          <w:lang w:val="cs-CZ"/>
        </w:rPr>
        <w:t>%).</w:t>
      </w:r>
    </w:p>
    <w:p w:rsidR="00D32F4F" w:rsidRPr="00841E46" w:rsidRDefault="00D32F4F" w:rsidP="00D32F4F">
      <w:pPr>
        <w:pStyle w:val="Bodytext"/>
        <w:rPr>
          <w:i w:val="0"/>
          <w:highlight w:val="yellow"/>
          <w:lang w:val="cs-CZ"/>
        </w:rPr>
      </w:pPr>
    </w:p>
    <w:p w:rsidR="00D32F4F" w:rsidRPr="002E441E" w:rsidRDefault="00D32F4F" w:rsidP="00D32F4F">
      <w:pPr>
        <w:pStyle w:val="Bodytext"/>
        <w:rPr>
          <w:b/>
          <w:i w:val="0"/>
          <w:lang w:val="cs-CZ"/>
        </w:rPr>
      </w:pPr>
      <w:r w:rsidRPr="002E441E">
        <w:rPr>
          <w:b/>
          <w:i w:val="0"/>
          <w:lang w:val="cs-CZ"/>
        </w:rPr>
        <w:t>Pojistné události</w:t>
      </w:r>
    </w:p>
    <w:p w:rsidR="00D32F4F" w:rsidRPr="00E15AFB" w:rsidRDefault="002E441E" w:rsidP="002E441E">
      <w:pPr>
        <w:autoSpaceDE w:val="0"/>
        <w:autoSpaceDN w:val="0"/>
        <w:adjustRightInd w:val="0"/>
        <w:spacing w:after="0" w:line="240" w:lineRule="auto"/>
        <w:rPr>
          <w:rFonts w:ascii="Arial" w:hAnsi="Arial"/>
          <w:i w:val="0"/>
        </w:rPr>
      </w:pPr>
      <w:r w:rsidRPr="00E15AFB">
        <w:rPr>
          <w:rFonts w:ascii="Arial" w:hAnsi="Arial"/>
          <w:i w:val="0"/>
        </w:rPr>
        <w:t>Objem hlášených pojistných událostí se v roce 2017, v porovnání s předchozím rokem, zvýš</w:t>
      </w:r>
      <w:r w:rsidR="00E15AFB" w:rsidRPr="00E15AFB">
        <w:rPr>
          <w:rFonts w:ascii="Arial" w:hAnsi="Arial"/>
          <w:i w:val="0"/>
        </w:rPr>
        <w:t xml:space="preserve">il o </w:t>
      </w:r>
      <w:r w:rsidRPr="00E15AFB">
        <w:rPr>
          <w:rFonts w:ascii="Arial" w:hAnsi="Arial"/>
          <w:i w:val="0"/>
        </w:rPr>
        <w:t>11 % a frekvence hlášených pojistných událostí meziročně vzrostla o 75 %, což způ</w:t>
      </w:r>
      <w:r w:rsidR="00E15AFB" w:rsidRPr="00E15AFB">
        <w:rPr>
          <w:rFonts w:ascii="Arial" w:hAnsi="Arial"/>
          <w:i w:val="0"/>
        </w:rPr>
        <w:t xml:space="preserve">sobila </w:t>
      </w:r>
      <w:r w:rsidRPr="00E15AFB">
        <w:rPr>
          <w:rFonts w:ascii="Arial" w:hAnsi="Arial"/>
          <w:i w:val="0"/>
        </w:rPr>
        <w:t>především zvýšená frekvence pojistných událostí v polské pobočce.</w:t>
      </w:r>
      <w:r w:rsidR="00E15AFB" w:rsidRPr="00E15AFB">
        <w:rPr>
          <w:rFonts w:ascii="Arial" w:hAnsi="Arial"/>
          <w:i w:val="0"/>
        </w:rPr>
        <w:t xml:space="preserve"> </w:t>
      </w:r>
      <w:r w:rsidRPr="00E15AFB">
        <w:rPr>
          <w:rFonts w:ascii="Arial" w:hAnsi="Arial"/>
          <w:i w:val="0"/>
        </w:rPr>
        <w:t>Loss ratio na základě konsolidovaného výsledku všech poboček společnosti Credendo – Short-Term EU Risks dosáhlo 43 %.</w:t>
      </w:r>
      <w:r w:rsidR="00117D70" w:rsidRPr="00E15AFB">
        <w:rPr>
          <w:rFonts w:ascii="Arial" w:hAnsi="Arial"/>
          <w:i w:val="0"/>
        </w:rPr>
        <w:t xml:space="preserve"> </w:t>
      </w:r>
    </w:p>
    <w:p w:rsidR="002E441E" w:rsidRPr="002E441E" w:rsidRDefault="002E441E" w:rsidP="002E441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i w:val="0"/>
          <w:iCs w:val="0"/>
          <w:lang w:eastAsia="en-US"/>
        </w:rPr>
      </w:pPr>
    </w:p>
    <w:p w:rsidR="00D32F4F" w:rsidRPr="00A5675F" w:rsidRDefault="00E15AFB" w:rsidP="00D32F4F">
      <w:pPr>
        <w:pStyle w:val="Bodytext"/>
        <w:rPr>
          <w:b/>
          <w:i w:val="0"/>
          <w:lang w:val="cs-CZ"/>
        </w:rPr>
      </w:pPr>
      <w:r>
        <w:rPr>
          <w:b/>
          <w:i w:val="0"/>
          <w:lang w:val="cs-CZ"/>
        </w:rPr>
        <w:t>Investice</w:t>
      </w:r>
    </w:p>
    <w:p w:rsidR="00D32F4F" w:rsidRPr="00A5675F" w:rsidRDefault="00D32F4F" w:rsidP="006515F0">
      <w:pPr>
        <w:pStyle w:val="Bodytext"/>
        <w:jc w:val="both"/>
        <w:rPr>
          <w:i w:val="0"/>
          <w:lang w:val="cs-CZ"/>
        </w:rPr>
      </w:pPr>
      <w:r w:rsidRPr="00A5675F">
        <w:rPr>
          <w:i w:val="0"/>
          <w:lang w:val="cs-CZ"/>
        </w:rPr>
        <w:t>V souladu se schválenou investiční strategií společnost drží výhradně bonitní dluhové cenné</w:t>
      </w:r>
      <w:r w:rsidR="002E441E" w:rsidRPr="00A5675F">
        <w:rPr>
          <w:i w:val="0"/>
          <w:lang w:val="cs-CZ"/>
        </w:rPr>
        <w:t xml:space="preserve"> papíry emitenta Česká republika, Polská republika</w:t>
      </w:r>
      <w:r w:rsidRPr="00A5675F">
        <w:rPr>
          <w:i w:val="0"/>
          <w:lang w:val="cs-CZ"/>
        </w:rPr>
        <w:t xml:space="preserve"> a hotovost. Depozita jsou umístěna u významných bank s investičním ratingem.</w:t>
      </w:r>
    </w:p>
    <w:p w:rsidR="00D32F4F" w:rsidRPr="00841E46" w:rsidRDefault="00D32F4F" w:rsidP="00D32F4F">
      <w:pPr>
        <w:pStyle w:val="Bodytext"/>
        <w:rPr>
          <w:i w:val="0"/>
          <w:highlight w:val="yellow"/>
          <w:lang w:val="cs-CZ"/>
        </w:rPr>
      </w:pPr>
    </w:p>
    <w:p w:rsidR="00D32F4F" w:rsidRPr="00A5675F" w:rsidRDefault="00D32F4F" w:rsidP="00D32F4F">
      <w:pPr>
        <w:pStyle w:val="Bodytext"/>
        <w:rPr>
          <w:b/>
          <w:i w:val="0"/>
          <w:lang w:val="cs-CZ"/>
        </w:rPr>
      </w:pPr>
      <w:r w:rsidRPr="00A5675F">
        <w:rPr>
          <w:b/>
          <w:i w:val="0"/>
          <w:lang w:val="cs-CZ"/>
        </w:rPr>
        <w:t>Hospodářský výsledek a solventnost</w:t>
      </w:r>
    </w:p>
    <w:p w:rsidR="00D32F4F" w:rsidRPr="00E15AFB" w:rsidRDefault="00A5675F" w:rsidP="00E15AFB">
      <w:pPr>
        <w:pStyle w:val="Bodytext"/>
        <w:jc w:val="both"/>
        <w:rPr>
          <w:i w:val="0"/>
          <w:lang w:val="cs-CZ"/>
        </w:rPr>
      </w:pPr>
      <w:r w:rsidRPr="00E15AFB">
        <w:rPr>
          <w:i w:val="0"/>
          <w:lang w:val="cs-CZ"/>
        </w:rPr>
        <w:t xml:space="preserve">I přes pečlivé řízení provozních nákladů je ve finančním roce 2017 celkovým výsledkem ztráta </w:t>
      </w:r>
      <w:r w:rsidR="00812A33" w:rsidRPr="00A5675F">
        <w:rPr>
          <w:i w:val="0"/>
          <w:lang w:val="cs-CZ"/>
        </w:rPr>
        <w:t xml:space="preserve">ve výši </w:t>
      </w:r>
      <w:r w:rsidRPr="00E15AFB">
        <w:rPr>
          <w:i w:val="0"/>
          <w:lang w:val="cs-CZ"/>
        </w:rPr>
        <w:t>21</w:t>
      </w:r>
      <w:r w:rsidR="00852480" w:rsidRPr="00A5675F">
        <w:rPr>
          <w:i w:val="0"/>
          <w:lang w:val="cs-CZ"/>
        </w:rPr>
        <w:t xml:space="preserve"> </w:t>
      </w:r>
      <w:r w:rsidR="00D32F4F" w:rsidRPr="00A5675F">
        <w:rPr>
          <w:i w:val="0"/>
          <w:lang w:val="cs-CZ"/>
        </w:rPr>
        <w:t>mil</w:t>
      </w:r>
      <w:r w:rsidR="00E15AFB" w:rsidRPr="00E15AFB">
        <w:rPr>
          <w:i w:val="0"/>
          <w:lang w:val="cs-CZ"/>
        </w:rPr>
        <w:t>.</w:t>
      </w:r>
      <w:r w:rsidR="00D32F4F" w:rsidRPr="00A5675F">
        <w:rPr>
          <w:i w:val="0"/>
          <w:lang w:val="cs-CZ"/>
        </w:rPr>
        <w:t xml:space="preserve"> CZK. </w:t>
      </w:r>
      <w:r w:rsidR="009B5D6E" w:rsidRPr="00A5675F">
        <w:rPr>
          <w:i w:val="0"/>
          <w:lang w:val="cs-CZ"/>
        </w:rPr>
        <w:t xml:space="preserve">Zásadním faktorem pro tento výsledek byl vývoj škodních událostí v Polsku. Společnost se plně koncentruje na naplnění strategie profitabilního růstu a provádí opatření k jejímu dosažení. Klíčovým úkolem nadále zůstává jak podpora </w:t>
      </w:r>
      <w:r w:rsidR="00D32F4F" w:rsidRPr="00A5675F">
        <w:rPr>
          <w:i w:val="0"/>
          <w:lang w:val="cs-CZ"/>
        </w:rPr>
        <w:t xml:space="preserve">podnikání klientů především na jejich </w:t>
      </w:r>
      <w:r w:rsidR="009B5D6E" w:rsidRPr="00A5675F">
        <w:rPr>
          <w:i w:val="0"/>
          <w:lang w:val="cs-CZ"/>
        </w:rPr>
        <w:t xml:space="preserve">hlavních obchodních </w:t>
      </w:r>
      <w:r w:rsidR="00D32F4F" w:rsidRPr="00A5675F">
        <w:rPr>
          <w:i w:val="0"/>
          <w:lang w:val="cs-CZ"/>
        </w:rPr>
        <w:t>trzích</w:t>
      </w:r>
      <w:r w:rsidR="00EF27BD" w:rsidRPr="00A5675F">
        <w:rPr>
          <w:i w:val="0"/>
          <w:lang w:val="cs-CZ"/>
        </w:rPr>
        <w:t>,</w:t>
      </w:r>
      <w:r w:rsidR="00D32F4F" w:rsidRPr="00A5675F">
        <w:rPr>
          <w:i w:val="0"/>
          <w:lang w:val="cs-CZ"/>
        </w:rPr>
        <w:t xml:space="preserve"> </w:t>
      </w:r>
      <w:r w:rsidR="009B5D6E" w:rsidRPr="00A5675F">
        <w:rPr>
          <w:i w:val="0"/>
          <w:lang w:val="cs-CZ"/>
        </w:rPr>
        <w:t xml:space="preserve">tak i </w:t>
      </w:r>
      <w:r w:rsidR="00EF27BD" w:rsidRPr="00A5675F">
        <w:rPr>
          <w:i w:val="0"/>
          <w:lang w:val="cs-CZ"/>
        </w:rPr>
        <w:t>zachování udržitelné strategie</w:t>
      </w:r>
      <w:r w:rsidR="00D32F4F" w:rsidRPr="00A5675F">
        <w:rPr>
          <w:i w:val="0"/>
          <w:lang w:val="cs-CZ"/>
        </w:rPr>
        <w:t xml:space="preserve"> tvorby hodnoty pro své akcionáře.</w:t>
      </w:r>
    </w:p>
    <w:p w:rsidR="009D592E" w:rsidRPr="00A5675F" w:rsidRDefault="009D592E" w:rsidP="006515F0">
      <w:pPr>
        <w:pStyle w:val="Bodytext"/>
        <w:jc w:val="both"/>
        <w:rPr>
          <w:i w:val="0"/>
          <w:lang w:val="cs-CZ"/>
        </w:rPr>
      </w:pPr>
    </w:p>
    <w:p w:rsidR="00D32F4F" w:rsidRPr="0078015E" w:rsidRDefault="00D32F4F" w:rsidP="006515F0">
      <w:pPr>
        <w:pStyle w:val="Bodytext"/>
        <w:jc w:val="both"/>
        <w:rPr>
          <w:i w:val="0"/>
          <w:lang w:val="cs-CZ"/>
        </w:rPr>
      </w:pPr>
      <w:r w:rsidRPr="00A5675F">
        <w:rPr>
          <w:i w:val="0"/>
          <w:lang w:val="cs-CZ"/>
        </w:rPr>
        <w:t xml:space="preserve">Výše vlastního kapitálu společnosti dosáhla hodnoty </w:t>
      </w:r>
      <w:r w:rsidR="0078015E" w:rsidRPr="00A5675F">
        <w:rPr>
          <w:i w:val="0"/>
          <w:lang w:val="cs-CZ"/>
        </w:rPr>
        <w:t>3</w:t>
      </w:r>
      <w:r w:rsidR="00A5675F" w:rsidRPr="00A5675F">
        <w:rPr>
          <w:i w:val="0"/>
          <w:lang w:val="cs-CZ"/>
        </w:rPr>
        <w:t>05</w:t>
      </w:r>
      <w:r w:rsidR="009B5D6E" w:rsidRPr="00A5675F">
        <w:rPr>
          <w:i w:val="0"/>
          <w:lang w:val="cs-CZ"/>
        </w:rPr>
        <w:t xml:space="preserve"> </w:t>
      </w:r>
      <w:r w:rsidRPr="00A5675F">
        <w:rPr>
          <w:i w:val="0"/>
          <w:lang w:val="cs-CZ"/>
        </w:rPr>
        <w:t>mil. Kč. Společnost plní kapitálové požadavky dle platných pravidel Solvency II.</w:t>
      </w:r>
    </w:p>
    <w:p w:rsidR="00DD45AC" w:rsidRPr="0078015E" w:rsidRDefault="00D32F4F" w:rsidP="00D32F4F">
      <w:pPr>
        <w:pStyle w:val="Bodytext"/>
        <w:rPr>
          <w:b/>
          <w:i w:val="0"/>
          <w:lang w:val="cs-CZ"/>
        </w:rPr>
      </w:pPr>
      <w:r w:rsidRPr="0078015E">
        <w:rPr>
          <w:rFonts w:ascii="Myriad Pro" w:hAnsi="Myriad Pro"/>
          <w:b/>
          <w:i w:val="0"/>
          <w:color w:val="821414"/>
          <w:sz w:val="22"/>
          <w:lang w:val="cs-CZ"/>
        </w:rPr>
        <w:br w:type="page"/>
      </w:r>
      <w:r w:rsidR="00DD45AC" w:rsidRPr="0078015E">
        <w:rPr>
          <w:b/>
          <w:i w:val="0"/>
          <w:color w:val="702700"/>
          <w:lang w:val="cs-CZ"/>
        </w:rPr>
        <w:lastRenderedPageBreak/>
        <w:t>Rozvaha společnosti</w:t>
      </w:r>
    </w:p>
    <w:tbl>
      <w:tblPr>
        <w:tblpPr w:leftFromText="141" w:rightFromText="141" w:vertAnchor="text" w:tblpX="70" w:tblpY="1"/>
        <w:tblOverlap w:val="never"/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977"/>
        <w:gridCol w:w="923"/>
        <w:gridCol w:w="923"/>
        <w:gridCol w:w="923"/>
        <w:gridCol w:w="923"/>
        <w:gridCol w:w="923"/>
      </w:tblGrid>
      <w:tr w:rsidR="00012B16" w:rsidRPr="0078015E" w:rsidTr="00012B1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B16" w:rsidRPr="0078015E" w:rsidRDefault="00012B16" w:rsidP="00B825BB">
            <w:pPr>
              <w:spacing w:after="0" w:line="240" w:lineRule="auto"/>
              <w:rPr>
                <w:rFonts w:ascii="Myriad Pro" w:eastAsia="Times New Roman" w:hAnsi="Myriad Pro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78015E" w:rsidRDefault="00012B16" w:rsidP="002D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2D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31. 12. 2016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31. 3. 2017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30. 6. 2017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30. 9. 2017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31.12.2017</w:t>
            </w:r>
          </w:p>
        </w:tc>
      </w:tr>
      <w:tr w:rsidR="00012B16" w:rsidRPr="0078015E" w:rsidTr="00012B16">
        <w:trPr>
          <w:trHeight w:val="171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  <w:t>AKTIVA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</w:tr>
      <w:tr w:rsidR="00012B16" w:rsidRPr="0078015E" w:rsidTr="00012B16">
        <w:trPr>
          <w:trHeight w:val="1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CE6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B.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Dlouhodobý nehmotný majetek, z toho:</w:t>
            </w:r>
          </w:p>
        </w:tc>
        <w:tc>
          <w:tcPr>
            <w:tcW w:w="923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3 005</w:t>
            </w:r>
          </w:p>
        </w:tc>
        <w:tc>
          <w:tcPr>
            <w:tcW w:w="923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2 455</w:t>
            </w:r>
          </w:p>
        </w:tc>
        <w:tc>
          <w:tcPr>
            <w:tcW w:w="923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1 434</w:t>
            </w:r>
          </w:p>
        </w:tc>
        <w:tc>
          <w:tcPr>
            <w:tcW w:w="923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1 196</w:t>
            </w:r>
          </w:p>
        </w:tc>
        <w:tc>
          <w:tcPr>
            <w:tcW w:w="923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1 032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a) zřizovací výdaje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3074D1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b) goodwill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c) software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3 005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2 455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1 434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1 196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1 032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C.I.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Finanční umístění (investice)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484 069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392 504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343 600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338 394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418 313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2. Dluhopisy a ostatní cenné papíry s pevným výnosem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52 812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72 812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51 500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51 483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362 373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3. Depozita u finančních institucí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431 257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319 692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292 100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286 911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55 940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E.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Dlužníci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186 989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168 351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194 502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197 292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157 838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E.I.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Pohledávky z operací přímého pojištění – pojistníci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30 539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32 557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33 260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32 440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29 261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E.II.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Pohledávky z operací zajištění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150 100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123 553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154 513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156 491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121 026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E.III.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Ostatní pohledávky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6 350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12 241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6 729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8 361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7 551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F.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Ostatní aktiva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31 179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145 223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160 764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128 838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97 034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F.I.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Dlouhodobý hmotný majetek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6 335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5 871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4 847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5 115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4 515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F.II.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Hotovost na účtech u finančních institucí a hotovost  v pokladně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24 844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139 352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155 917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123 723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92 519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F.III.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Jiná aktiva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78015E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G.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Přechodné účty aktiv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78 048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98 211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101 108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101 377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113 222</w:t>
            </w:r>
          </w:p>
        </w:tc>
      </w:tr>
      <w:tr w:rsidR="00012B16" w:rsidRPr="0078015E" w:rsidTr="0095782A">
        <w:trPr>
          <w:trHeight w:val="227"/>
        </w:trPr>
        <w:tc>
          <w:tcPr>
            <w:tcW w:w="4678" w:type="dxa"/>
            <w:gridSpan w:val="3"/>
            <w:tcBorders>
              <w:top w:val="nil"/>
              <w:left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  <w:t>AKTIVA CELKEM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783 290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806 744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CE61DD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801 408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B3966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B3966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767 097</w:t>
            </w:r>
          </w:p>
        </w:tc>
        <w:tc>
          <w:tcPr>
            <w:tcW w:w="923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B3966" w:rsidRDefault="003074D1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787 439</w:t>
            </w:r>
          </w:p>
        </w:tc>
      </w:tr>
      <w:tr w:rsidR="00012B16" w:rsidRPr="0078015E" w:rsidTr="00012B16">
        <w:trPr>
          <w:trHeight w:val="22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7B3966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012B16" w:rsidRPr="007B3966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</w:tr>
      <w:tr w:rsidR="00012B16" w:rsidRPr="0078015E" w:rsidTr="00012B16">
        <w:trPr>
          <w:trHeight w:val="22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2B16" w:rsidRPr="0078015E" w:rsidRDefault="00012B16" w:rsidP="00CE6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78015E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8E6597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12B16" w:rsidRPr="007B3966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012B16" w:rsidRPr="007B3966" w:rsidRDefault="00012B16" w:rsidP="007B39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</w:tr>
    </w:tbl>
    <w:p w:rsidR="00DD45AC" w:rsidRPr="0078015E" w:rsidRDefault="00DD45AC" w:rsidP="00DD45A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10"/>
          <w:szCs w:val="10"/>
        </w:rPr>
      </w:pPr>
    </w:p>
    <w:tbl>
      <w:tblPr>
        <w:tblpPr w:leftFromText="141" w:rightFromText="141" w:vertAnchor="text" w:tblpX="70" w:tblpY="1"/>
        <w:tblOverlap w:val="never"/>
        <w:tblW w:w="93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36"/>
        <w:gridCol w:w="936"/>
        <w:gridCol w:w="936"/>
        <w:gridCol w:w="936"/>
        <w:gridCol w:w="936"/>
      </w:tblGrid>
      <w:tr w:rsidR="00012B16" w:rsidRPr="00F209AD" w:rsidTr="00012B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78015E" w:rsidRDefault="00012B16" w:rsidP="002D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2D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31. 12. 2016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31. 3. 2017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F209AD" w:rsidRDefault="00012B16" w:rsidP="002E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F209AD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F209AD" w:rsidRDefault="00012B16" w:rsidP="002E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F209AD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30. 6. 2017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Pr="0078015E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F209AD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30. 9. 2017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702700"/>
          </w:tcPr>
          <w:p w:rsidR="00012B16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31.12.2017</w:t>
            </w:r>
          </w:p>
        </w:tc>
      </w:tr>
      <w:tr w:rsidR="00012B16" w:rsidRPr="00F209AD" w:rsidTr="00012B16">
        <w:trPr>
          <w:trHeight w:val="16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821414"/>
                <w:sz w:val="16"/>
                <w:szCs w:val="16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  <w:t>PASIVA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F52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012B16" w:rsidRPr="0078015E" w:rsidRDefault="00012B16" w:rsidP="00F52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012B16" w:rsidRPr="00F209AD" w:rsidRDefault="00012B16" w:rsidP="00F52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012B16" w:rsidRPr="00F209AD" w:rsidRDefault="00012B16" w:rsidP="00F52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012B16" w:rsidRPr="00F209AD" w:rsidRDefault="00012B16" w:rsidP="00F52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</w:tr>
      <w:tr w:rsidR="00012B16" w:rsidRPr="00F209AD" w:rsidTr="00012B16">
        <w:trPr>
          <w:trHeight w:val="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821414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F209AD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F209AD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</w:tcPr>
          <w:p w:rsidR="00012B16" w:rsidRPr="0078015E" w:rsidRDefault="00012B16" w:rsidP="00D0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A.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Vlastní kapitál 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325 987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330 335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329 889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306 953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304 828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A.I.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Základní kapitál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200 000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200 000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200 000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A.II.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Emisní ážio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303 143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303 143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303 143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303 143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303 143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A.IV.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Ostatní kapitálové fondy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1 214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1 216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1 217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1 218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1 219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A.V.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Zákonný rezervní fond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40 000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40 000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A.VI.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Neuhrazená ztráta minulých účetních období 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-163 040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-218 370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-218 370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-218 370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-218 370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A.VII.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Hospodářský výsledek běžného účetního období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-55 330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4 346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3 899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-19 038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-21 164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C.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Technické rezervy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134 179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145 784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126 150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134 150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152 364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C.I.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Rezerva na nezasloužené pojistné: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18 192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16 654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18 937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17 829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17 389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a) hrubá výše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50 409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47 555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50 698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48 912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49 592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b) podíl zajišťovatelů 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-32 217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-30 901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-31 761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-31 083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-32 203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C.II.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Rezerva na pojistná plnění: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112 860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124 674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100 543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109 925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127 155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a) hrubá výše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863 652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893 187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832 860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760 235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786 244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b) podíl zajišťovatelů 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-750 792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-768 513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-732 317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-650 310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-659 089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C.III.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Rezerva na prémie a slevy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3 127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4 456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6 670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6 396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7 820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C.IV.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Vyrovnávací rezerva (hrubá výše):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E.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Ostatní rezervy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1 630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E.I.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Ostatní rezervy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665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1 630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F.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Depozita při pasivním zajištění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85 002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84 791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86 169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114 712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123 113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G.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Věřitelé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156 427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145 625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157 116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100 523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107 194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G.I.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Závazky z operací přímého pojištění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2 840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5 793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2 526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2 470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612B0C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2 849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G.II.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Závazky z operací zajištění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144 036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125 841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144 577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85 906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92 222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G.III.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Ostatní závazky, z toho: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9 551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13 991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10 013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12 147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12 123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- daňové závazky a závazky ze sociálního zabezpečení a zdravotního pojištění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2 738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5 934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2 652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2 612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3 309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H.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Přechodné účty pasiv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81 030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99 544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101 419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110 094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98 310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H.I.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Výdaje příštích období a výnosy příštích období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15 030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20 412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17 854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15 504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14 539</w:t>
            </w:r>
          </w:p>
        </w:tc>
      </w:tr>
      <w:tr w:rsidR="00012B16" w:rsidRPr="00F209AD" w:rsidTr="0095782A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H.II.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Ostatní přechodné účty pasiv (dohadné účty pasiv)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66 000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79 132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8E6597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8E6597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83 565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94 590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83 771</w:t>
            </w:r>
          </w:p>
        </w:tc>
      </w:tr>
      <w:tr w:rsidR="00012B16" w:rsidRPr="00F209AD" w:rsidTr="0095782A">
        <w:trPr>
          <w:trHeight w:val="22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78015E" w:rsidRDefault="00012B16" w:rsidP="00D0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821414"/>
                <w:sz w:val="16"/>
                <w:szCs w:val="16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6"/>
                <w:szCs w:val="16"/>
              </w:rPr>
              <w:t>PASIVA CELKEM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783 290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806 744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209AD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F209AD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801 408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05DF8" w:rsidRDefault="00012B16" w:rsidP="00D05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D05DF8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767 097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05DF8" w:rsidRDefault="00C10CEB" w:rsidP="00957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787 439</w:t>
            </w:r>
          </w:p>
        </w:tc>
      </w:tr>
    </w:tbl>
    <w:p w:rsidR="00DD45AC" w:rsidRPr="0078015E" w:rsidRDefault="00DD45AC" w:rsidP="00452C1F">
      <w:pPr>
        <w:pStyle w:val="Bodytext"/>
        <w:rPr>
          <w:rFonts w:ascii="Myriad Pro" w:hAnsi="Myriad Pro"/>
          <w:b/>
          <w:i w:val="0"/>
          <w:color w:val="821414"/>
          <w:lang w:val="cs-CZ"/>
        </w:rPr>
      </w:pPr>
      <w:r w:rsidRPr="0078015E">
        <w:rPr>
          <w:rFonts w:ascii="Myriad Pro" w:hAnsi="Myriad Pro"/>
          <w:i w:val="0"/>
          <w:color w:val="00628E"/>
          <w:lang w:val="cs-CZ"/>
        </w:rPr>
        <w:t xml:space="preserve"> </w:t>
      </w:r>
      <w:r w:rsidRPr="0078015E">
        <w:rPr>
          <w:rFonts w:ascii="Myriad Pro" w:hAnsi="Myriad Pro"/>
          <w:b/>
          <w:i w:val="0"/>
          <w:color w:val="821414"/>
          <w:sz w:val="22"/>
          <w:lang w:val="cs-CZ"/>
        </w:rPr>
        <w:br w:type="page"/>
      </w:r>
      <w:r w:rsidRPr="0078015E">
        <w:rPr>
          <w:b/>
          <w:i w:val="0"/>
          <w:color w:val="702700"/>
          <w:lang w:val="cs-CZ"/>
        </w:rPr>
        <w:lastRenderedPageBreak/>
        <w:t>Výkaz zisku a ztrát</w:t>
      </w:r>
    </w:p>
    <w:tbl>
      <w:tblPr>
        <w:tblW w:w="937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936"/>
        <w:gridCol w:w="936"/>
        <w:gridCol w:w="936"/>
        <w:gridCol w:w="936"/>
        <w:gridCol w:w="936"/>
      </w:tblGrid>
      <w:tr w:rsidR="00012B16" w:rsidRPr="0078015E" w:rsidTr="00012B16">
        <w:trPr>
          <w:trHeight w:hRule="exact" w:val="57"/>
        </w:trPr>
        <w:tc>
          <w:tcPr>
            <w:tcW w:w="46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B16" w:rsidRPr="0078015E" w:rsidRDefault="00012B16" w:rsidP="00B825BB">
            <w:pPr>
              <w:spacing w:after="0" w:line="240" w:lineRule="auto"/>
              <w:rPr>
                <w:rFonts w:ascii="Myriad Pro" w:eastAsia="Times New Roman" w:hAnsi="Myriad Pro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78015E" w:rsidRDefault="00012B16" w:rsidP="00B8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F209AD" w:rsidRDefault="00012B16" w:rsidP="00F2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F209AD" w:rsidRDefault="00012B16" w:rsidP="00F2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F209AD" w:rsidRDefault="00012B16" w:rsidP="00F2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</w:p>
        </w:tc>
      </w:tr>
      <w:tr w:rsidR="00012B16" w:rsidRPr="0078015E" w:rsidTr="00012B16">
        <w:trPr>
          <w:trHeight w:val="255"/>
        </w:trPr>
        <w:tc>
          <w:tcPr>
            <w:tcW w:w="46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B16" w:rsidRPr="0078015E" w:rsidRDefault="00012B16" w:rsidP="00B825BB">
            <w:pPr>
              <w:spacing w:after="0" w:line="240" w:lineRule="auto"/>
              <w:rPr>
                <w:rFonts w:ascii="Myriad Pro" w:eastAsia="Times New Roman" w:hAnsi="Myriad Pro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78015E" w:rsidRDefault="00012B16" w:rsidP="00B8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1. 1. 2016</w:t>
            </w:r>
          </w:p>
          <w:p w:rsidR="00012B16" w:rsidRPr="0078015E" w:rsidRDefault="00012B16" w:rsidP="00B8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-</w:t>
            </w:r>
          </w:p>
          <w:p w:rsidR="00012B16" w:rsidRPr="0078015E" w:rsidRDefault="00012B16" w:rsidP="00B8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31. 12. 2016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1. 1. 2017</w:t>
            </w:r>
          </w:p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-</w:t>
            </w:r>
          </w:p>
          <w:p w:rsidR="00012B16" w:rsidRPr="0078015E" w:rsidRDefault="00012B16" w:rsidP="0055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31. 3. 2017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F209AD" w:rsidRDefault="00012B16" w:rsidP="00F2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F209AD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1. 1. 2017</w:t>
            </w:r>
          </w:p>
          <w:p w:rsidR="00012B16" w:rsidRPr="00F209AD" w:rsidRDefault="00012B16" w:rsidP="00F2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F209AD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-</w:t>
            </w:r>
          </w:p>
          <w:p w:rsidR="00012B16" w:rsidRPr="00F209AD" w:rsidRDefault="00012B16" w:rsidP="00F2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F209AD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30. 6. 2017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78015E" w:rsidRDefault="00012B16" w:rsidP="00005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1. 1. 2017</w:t>
            </w:r>
          </w:p>
          <w:p w:rsidR="00012B16" w:rsidRPr="0078015E" w:rsidRDefault="00012B16" w:rsidP="00005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-</w:t>
            </w:r>
          </w:p>
          <w:p w:rsidR="00012B16" w:rsidRPr="00F209AD" w:rsidRDefault="00012B16" w:rsidP="00005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30. 9. 2017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702700"/>
          </w:tcPr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1. 1. 201</w:t>
            </w: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7</w:t>
            </w:r>
          </w:p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-</w:t>
            </w:r>
          </w:p>
          <w:p w:rsidR="00012B16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31. 12. 201</w:t>
            </w: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7</w:t>
            </w:r>
          </w:p>
        </w:tc>
      </w:tr>
      <w:tr w:rsidR="00012B16" w:rsidRPr="0078015E" w:rsidTr="00006BC9">
        <w:trPr>
          <w:trHeight w:val="255"/>
        </w:trPr>
        <w:tc>
          <w:tcPr>
            <w:tcW w:w="46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012B16" w:rsidRPr="0078015E" w:rsidRDefault="00012B16" w:rsidP="00B825BB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i w:val="0"/>
                <w:iCs w:val="0"/>
                <w:color w:val="821414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  <w:vAlign w:val="bottom"/>
          </w:tcPr>
          <w:p w:rsidR="00012B16" w:rsidRPr="0078015E" w:rsidRDefault="00012B16" w:rsidP="004E1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  <w:vAlign w:val="bottom"/>
          </w:tcPr>
          <w:p w:rsidR="00012B16" w:rsidRPr="0078015E" w:rsidRDefault="00012B16" w:rsidP="004E1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  <w:vAlign w:val="bottom"/>
          </w:tcPr>
          <w:p w:rsidR="00012B16" w:rsidRPr="00F209AD" w:rsidRDefault="00012B16" w:rsidP="004E1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  <w:vAlign w:val="bottom"/>
          </w:tcPr>
          <w:p w:rsidR="00012B16" w:rsidRPr="0078015E" w:rsidRDefault="00006BC9" w:rsidP="0000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821414"/>
              <w:right w:val="nil"/>
            </w:tcBorders>
            <w:vAlign w:val="bottom"/>
          </w:tcPr>
          <w:p w:rsidR="00012B16" w:rsidRPr="0078015E" w:rsidRDefault="00006BC9" w:rsidP="0000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</w:tr>
      <w:tr w:rsidR="00012B16" w:rsidRPr="0078015E" w:rsidTr="00012B16">
        <w:trPr>
          <w:trHeight w:val="178"/>
        </w:trPr>
        <w:tc>
          <w:tcPr>
            <w:tcW w:w="4693" w:type="dxa"/>
            <w:tcBorders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I. TECHNICKÝ ÚČET K NEŽIVOTNÍMU POJIŠTĚNÍ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</w:tcPr>
          <w:p w:rsidR="00012B16" w:rsidRPr="00DE4748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12" w:space="0" w:color="821414"/>
              <w:left w:val="single" w:sz="6" w:space="0" w:color="808080"/>
              <w:bottom w:val="nil"/>
              <w:right w:val="single" w:sz="6" w:space="0" w:color="808080"/>
            </w:tcBorders>
          </w:tcPr>
          <w:p w:rsidR="00012B16" w:rsidRPr="00DE4748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1. Zasloužené pojistné, očištěné od zajištění: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129 441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36 515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77 989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114 097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151 345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a) předepsané hrubé pojistné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364 577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98 721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219 435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328 060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440 451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b) pojistné postoupené zajišťovatelům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-233 250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-63 744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-140 700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-214 326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-289 909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c) změna stavu hrubé výše rezervy na nezasloužené pojistné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-4 795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2 855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-290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1 497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817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d) změna stavu rez. na nezasloužené pojistné – podíl zajišťovatelů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2 909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-1 317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-456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-1 134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-14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2. Převedené výnosy z finančního umístění z netechnického účtu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3. Ostatní technické výnosy očištěné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43 715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17 339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30 646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46 959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43 154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4. Náklady na pojistná plnění, očištěné od zajištění: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129 708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20 294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41 614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81 597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117 687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a) náklady na pojistná plnění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83 321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8 481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52 964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84 532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103 392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    aa) hrubá výše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233 072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22 190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132 422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210 105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258 455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    ab) podíl zajišťovatelů (-)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-149 751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-13 709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-79 458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-125 573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-155 063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b) změna stavu rezervy na pojistná plnění: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46 387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11 813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-11 350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-2 935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14 295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    ba) hrubá výše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97 057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29 534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-29 825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-103 417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-77 409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    bb) podíl zajišťovatelů (-)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-50 670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-17 721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18 475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100 482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91 704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5. Změna stavu ostatních tech. rezerv - očištěné od zajištění (+/-)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1 137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1 329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3 543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3 268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4 693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6. Prémie a slevy, očištěné od zajištění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-1 143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878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2448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4 183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7. Čistá výše provozních nákladů: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108 974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31 476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59 517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90 123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82 162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a) pořizovací náklady na pojistné smlouvy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71 118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17 841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35 200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53 632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70 376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b) správní režie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109 551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31 246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63 643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93 757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112 630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c) provize od zajišťovatelů a podíly na ziscích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-71 695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-17 611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-39 326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-57 327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-100 844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8. Ostatní technické náklady očištěné od zajištění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108 974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157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157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248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9. Změna stavu vyrovnávací rezervy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-184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10. ZŮSTATEK technického účtu k neživotnímu pojištění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-52 060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745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2926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-16 537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-14 474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III. NETECHNICKÝ ÚČET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4802E0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4802E0" w:rsidRDefault="00012B16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1. Výsledek technického účtu k neživotnímu pojištění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-52 060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745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2926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-16 537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-14 474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2. Výsledek technického účtu k životnímu pojištění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337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3. Výnosy z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investic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1 242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176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737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1100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1 979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3371C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a) výnosy z podíl</w:t>
            </w:r>
            <w:r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ů</w:t>
            </w: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3371C1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3371C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b) výnosy z </w:t>
            </w:r>
            <w:r w:rsidRPr="003371C1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ostatních investic</w:t>
            </w: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3371C1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3371C1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1 070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A13956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1 123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FC254D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  <w:highlight w:val="yellow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c) </w:t>
            </w:r>
            <w:r w:rsidRPr="003371C1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změny hodnoty investic - výnosy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FC254D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  <w:highlight w:val="yellow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172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A13956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856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FC254D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  <w:highlight w:val="yellow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d) </w:t>
            </w:r>
            <w:r w:rsidRPr="003371C1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výnosy z realizace investic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FC254D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  <w:highlight w:val="yellow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16" w:rsidRPr="00A13956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A13956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16" w:rsidRPr="00A13956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4. Převedené výnosy finančního umístění z tech. účtu k život.                                           pojištění: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4802E0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4802E0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5. Náklady na finanční umístění (investice):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1 294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695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928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4802E0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1118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3 590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a) náklady na správu finančního umístění (investic) včetně úroků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83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4802E0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70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b) změny hodnoty finančního umístění (investic)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1 211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681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902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3 520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 xml:space="preserve">          c) náklady spojené s realizací finančního umístění (investic)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6. Převod výnosů z finančního umístění na tech. účet neživot. pojištění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4E1BF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7. Ostatní výnosy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9 354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264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207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7 046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13 709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8. Ostatní náklady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ind w:right="-32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12 579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4E1BFE" w:rsidRDefault="00012B16" w:rsidP="004E1BFE">
            <w:pPr>
              <w:spacing w:after="0" w:line="240" w:lineRule="auto"/>
              <w:ind w:right="-32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144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ind w:right="-32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1039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9 521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16 240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9. Daň z příjmů z běžné činnosti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-27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793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color w:val="0000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0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10. Zisk nebo ztráta z běžné činnosti po zdanění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-55 310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4 346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3 903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-19 030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-18 616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15. Ostatní daně neuvedené v předcházejících položkách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20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2 548</w:t>
            </w:r>
          </w:p>
        </w:tc>
      </w:tr>
      <w:tr w:rsidR="00012B16" w:rsidRPr="0078015E" w:rsidTr="00006BC9">
        <w:trPr>
          <w:trHeight w:val="227"/>
        </w:trPr>
        <w:tc>
          <w:tcPr>
            <w:tcW w:w="4693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 xml:space="preserve">     16. ZISK nebo ZTRÁTA za účetní období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-55 330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4E1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4 346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DE4748" w:rsidRDefault="00012B16" w:rsidP="00480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DE4748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3 899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 w:rsidRPr="00FC792B"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-19 038</w:t>
            </w:r>
          </w:p>
        </w:tc>
        <w:tc>
          <w:tcPr>
            <w:tcW w:w="93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FC792B" w:rsidRDefault="00006BC9" w:rsidP="0000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702700"/>
                <w:sz w:val="14"/>
                <w:szCs w:val="14"/>
              </w:rPr>
              <w:t>-21 164</w:t>
            </w:r>
          </w:p>
        </w:tc>
      </w:tr>
    </w:tbl>
    <w:p w:rsidR="00DD45AC" w:rsidRPr="0078015E" w:rsidRDefault="00DD45AC" w:rsidP="00DD45AC">
      <w:pPr>
        <w:spacing w:after="0"/>
        <w:rPr>
          <w:rFonts w:ascii="Myriad Pro" w:hAnsi="Myriad Pro"/>
          <w:i w:val="0"/>
          <w:color w:val="00628E"/>
        </w:rPr>
      </w:pPr>
      <w:r w:rsidRPr="0078015E">
        <w:rPr>
          <w:rFonts w:ascii="Myriad Pro" w:hAnsi="Myriad Pro"/>
          <w:i w:val="0"/>
          <w:color w:val="00628E"/>
        </w:rPr>
        <w:t xml:space="preserve">  </w:t>
      </w:r>
    </w:p>
    <w:p w:rsidR="00DD45AC" w:rsidRPr="0078015E" w:rsidRDefault="00DD45AC" w:rsidP="00F52613">
      <w:pPr>
        <w:pStyle w:val="Bodytext"/>
        <w:rPr>
          <w:b/>
          <w:i w:val="0"/>
          <w:color w:val="702700"/>
          <w:lang w:val="cs-CZ"/>
        </w:rPr>
      </w:pPr>
      <w:r w:rsidRPr="0078015E">
        <w:rPr>
          <w:rFonts w:ascii="Myriad Pro" w:hAnsi="Myriad Pro"/>
          <w:i w:val="0"/>
          <w:color w:val="00628E"/>
          <w:lang w:val="cs-CZ"/>
        </w:rPr>
        <w:br w:type="page"/>
      </w:r>
      <w:r w:rsidRPr="0078015E">
        <w:rPr>
          <w:b/>
          <w:i w:val="0"/>
          <w:color w:val="702700"/>
          <w:lang w:val="cs-CZ"/>
        </w:rPr>
        <w:lastRenderedPageBreak/>
        <w:t>Poměrové ukazatele</w:t>
      </w: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6"/>
        <w:gridCol w:w="996"/>
        <w:gridCol w:w="996"/>
        <w:gridCol w:w="996"/>
        <w:gridCol w:w="996"/>
      </w:tblGrid>
      <w:tr w:rsidR="00012B16" w:rsidRPr="0078015E" w:rsidTr="00012B16">
        <w:trPr>
          <w:trHeight w:val="270"/>
        </w:trPr>
        <w:tc>
          <w:tcPr>
            <w:tcW w:w="43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12B16" w:rsidRPr="0078015E" w:rsidRDefault="00012B16" w:rsidP="00B825BB">
            <w:pPr>
              <w:spacing w:after="0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996" w:type="dxa"/>
            <w:shd w:val="clear" w:color="auto" w:fill="702700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31. 12. 2016</w:t>
            </w:r>
          </w:p>
        </w:tc>
        <w:tc>
          <w:tcPr>
            <w:tcW w:w="996" w:type="dxa"/>
            <w:shd w:val="clear" w:color="auto" w:fill="702700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31. 3. 2017</w:t>
            </w:r>
          </w:p>
        </w:tc>
        <w:tc>
          <w:tcPr>
            <w:tcW w:w="996" w:type="dxa"/>
            <w:shd w:val="clear" w:color="auto" w:fill="702700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30. 6. 2017</w:t>
            </w:r>
          </w:p>
        </w:tc>
        <w:tc>
          <w:tcPr>
            <w:tcW w:w="996" w:type="dxa"/>
            <w:shd w:val="clear" w:color="auto" w:fill="702700"/>
          </w:tcPr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30. 9. 2017</w:t>
            </w:r>
          </w:p>
        </w:tc>
        <w:tc>
          <w:tcPr>
            <w:tcW w:w="996" w:type="dxa"/>
            <w:shd w:val="clear" w:color="auto" w:fill="702700"/>
          </w:tcPr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k</w:t>
            </w:r>
          </w:p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sz w:val="14"/>
                <w:szCs w:val="14"/>
              </w:rPr>
              <w:t>31. 12. 2017</w:t>
            </w:r>
          </w:p>
        </w:tc>
      </w:tr>
      <w:tr w:rsidR="00012B16" w:rsidRPr="0078015E" w:rsidTr="00012B16">
        <w:trPr>
          <w:trHeight w:val="270"/>
        </w:trPr>
        <w:tc>
          <w:tcPr>
            <w:tcW w:w="4395" w:type="dxa"/>
            <w:shd w:val="clear" w:color="auto" w:fill="auto"/>
            <w:noWrap/>
            <w:vAlign w:val="bottom"/>
          </w:tcPr>
          <w:p w:rsidR="00012B16" w:rsidRPr="0078015E" w:rsidRDefault="00012B16" w:rsidP="00B825BB">
            <w:pPr>
              <w:spacing w:after="0"/>
              <w:rPr>
                <w:rFonts w:ascii="Arial" w:hAnsi="Arial" w:cs="Arial"/>
                <w:b/>
                <w:bCs/>
                <w:i w:val="0"/>
                <w:color w:val="821414"/>
                <w:sz w:val="14"/>
                <w:szCs w:val="14"/>
              </w:rPr>
            </w:pPr>
          </w:p>
        </w:tc>
        <w:tc>
          <w:tcPr>
            <w:tcW w:w="996" w:type="dxa"/>
            <w:tcBorders>
              <w:bottom w:val="single" w:sz="12" w:space="0" w:color="821414"/>
            </w:tcBorders>
            <w:vAlign w:val="bottom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96" w:type="dxa"/>
            <w:tcBorders>
              <w:bottom w:val="single" w:sz="12" w:space="0" w:color="821414"/>
            </w:tcBorders>
            <w:vAlign w:val="bottom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96" w:type="dxa"/>
            <w:tcBorders>
              <w:bottom w:val="single" w:sz="12" w:space="0" w:color="821414"/>
            </w:tcBorders>
            <w:vAlign w:val="bottom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96" w:type="dxa"/>
            <w:tcBorders>
              <w:bottom w:val="single" w:sz="12" w:space="0" w:color="821414"/>
            </w:tcBorders>
            <w:vAlign w:val="bottom"/>
          </w:tcPr>
          <w:p w:rsidR="00012B16" w:rsidRPr="0078015E" w:rsidRDefault="00012B16" w:rsidP="0001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  <w:tc>
          <w:tcPr>
            <w:tcW w:w="996" w:type="dxa"/>
            <w:tcBorders>
              <w:bottom w:val="single" w:sz="12" w:space="0" w:color="821414"/>
            </w:tcBorders>
            <w:vAlign w:val="bottom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tis. Kč</w:t>
            </w: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F52613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color w:val="821414"/>
                <w:sz w:val="14"/>
                <w:szCs w:val="14"/>
              </w:rPr>
            </w:pPr>
            <w:r w:rsidRPr="0078015E">
              <w:rPr>
                <w:rFonts w:ascii="Arial" w:hAnsi="Arial" w:cs="Arial"/>
                <w:i w:val="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single" w:sz="12" w:space="0" w:color="821414"/>
            </w:tcBorders>
            <w:vAlign w:val="center"/>
          </w:tcPr>
          <w:p w:rsidR="00012B16" w:rsidRPr="0078015E" w:rsidRDefault="00012B16" w:rsidP="00553C5F">
            <w:pPr>
              <w:spacing w:after="0"/>
              <w:jc w:val="center"/>
              <w:rPr>
                <w:rFonts w:ascii="Arial" w:hAnsi="Arial" w:cs="Arial"/>
                <w:i w:val="0"/>
                <w:color w:val="821414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12" w:space="0" w:color="821414"/>
            </w:tcBorders>
            <w:vAlign w:val="center"/>
          </w:tcPr>
          <w:p w:rsidR="00012B16" w:rsidRPr="0078015E" w:rsidRDefault="00012B16" w:rsidP="00553C5F">
            <w:pPr>
              <w:spacing w:after="0"/>
              <w:jc w:val="center"/>
              <w:rPr>
                <w:rFonts w:ascii="Arial" w:hAnsi="Arial" w:cs="Arial"/>
                <w:i w:val="0"/>
                <w:color w:val="821414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12" w:space="0" w:color="821414"/>
            </w:tcBorders>
            <w:vAlign w:val="center"/>
          </w:tcPr>
          <w:p w:rsidR="00012B16" w:rsidRPr="0078015E" w:rsidRDefault="00012B16" w:rsidP="00553C5F">
            <w:pPr>
              <w:spacing w:after="0"/>
              <w:jc w:val="center"/>
              <w:rPr>
                <w:rFonts w:ascii="Arial" w:hAnsi="Arial" w:cs="Arial"/>
                <w:i w:val="0"/>
                <w:color w:val="821414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12" w:space="0" w:color="821414"/>
            </w:tcBorders>
            <w:vAlign w:val="bottom"/>
          </w:tcPr>
          <w:p w:rsidR="00012B16" w:rsidRPr="0078015E" w:rsidRDefault="00012B16" w:rsidP="00012B16">
            <w:pPr>
              <w:spacing w:after="0"/>
              <w:jc w:val="center"/>
              <w:rPr>
                <w:rFonts w:ascii="Arial" w:hAnsi="Arial" w:cs="Arial"/>
                <w:i w:val="0"/>
                <w:color w:val="821414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12" w:space="0" w:color="821414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/>
              <w:jc w:val="center"/>
              <w:rPr>
                <w:rFonts w:ascii="Arial" w:hAnsi="Arial" w:cs="Arial"/>
                <w:i w:val="0"/>
                <w:color w:val="821414"/>
                <w:sz w:val="14"/>
                <w:szCs w:val="14"/>
              </w:rPr>
            </w:pP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bottom w:val="single" w:sz="12" w:space="0" w:color="821414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%</w:t>
            </w:r>
          </w:p>
        </w:tc>
        <w:tc>
          <w:tcPr>
            <w:tcW w:w="996" w:type="dxa"/>
            <w:tcBorders>
              <w:top w:val="nil"/>
              <w:bottom w:val="single" w:sz="12" w:space="0" w:color="821414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%</w:t>
            </w:r>
          </w:p>
        </w:tc>
        <w:tc>
          <w:tcPr>
            <w:tcW w:w="996" w:type="dxa"/>
            <w:tcBorders>
              <w:top w:val="nil"/>
              <w:bottom w:val="single" w:sz="12" w:space="0" w:color="821414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%</w:t>
            </w:r>
          </w:p>
        </w:tc>
        <w:tc>
          <w:tcPr>
            <w:tcW w:w="996" w:type="dxa"/>
            <w:tcBorders>
              <w:top w:val="nil"/>
              <w:bottom w:val="single" w:sz="12" w:space="0" w:color="821414"/>
            </w:tcBorders>
            <w:vAlign w:val="bottom"/>
          </w:tcPr>
          <w:p w:rsidR="00012B16" w:rsidRDefault="00012B16" w:rsidP="00012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%</w:t>
            </w:r>
          </w:p>
        </w:tc>
        <w:tc>
          <w:tcPr>
            <w:tcW w:w="996" w:type="dxa"/>
            <w:tcBorders>
              <w:top w:val="nil"/>
              <w:bottom w:val="single" w:sz="12" w:space="0" w:color="821414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%</w:t>
            </w: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Rentabilita průměrných aktiv (ROAA) anualizovaná*</w:t>
            </w:r>
          </w:p>
        </w:tc>
        <w:tc>
          <w:tcPr>
            <w:tcW w:w="996" w:type="dxa"/>
            <w:tcBorders>
              <w:top w:val="single" w:sz="12" w:space="0" w:color="821414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Cs/>
                <w:i w:val="0"/>
                <w:sz w:val="14"/>
                <w:szCs w:val="14"/>
              </w:rPr>
              <w:t>-7,06 %</w:t>
            </w:r>
          </w:p>
        </w:tc>
        <w:tc>
          <w:tcPr>
            <w:tcW w:w="996" w:type="dxa"/>
            <w:tcBorders>
              <w:top w:val="single" w:sz="12" w:space="0" w:color="821414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Cs/>
                <w:i w:val="0"/>
                <w:sz w:val="14"/>
                <w:szCs w:val="14"/>
              </w:rPr>
              <w:t>2,15 %</w:t>
            </w:r>
          </w:p>
        </w:tc>
        <w:tc>
          <w:tcPr>
            <w:tcW w:w="996" w:type="dxa"/>
            <w:tcBorders>
              <w:top w:val="single" w:sz="12" w:space="0" w:color="821414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i w:val="0"/>
                <w:sz w:val="14"/>
                <w:szCs w:val="14"/>
              </w:rPr>
              <w:t>0,97 %</w:t>
            </w:r>
          </w:p>
        </w:tc>
        <w:tc>
          <w:tcPr>
            <w:tcW w:w="996" w:type="dxa"/>
            <w:tcBorders>
              <w:top w:val="single" w:sz="12" w:space="0" w:color="821414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521983" w:rsidRDefault="00012B16" w:rsidP="00012B16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 w:rsidRPr="00521983">
              <w:rPr>
                <w:rFonts w:ascii="Arial" w:hAnsi="Arial" w:cs="Arial"/>
                <w:bCs/>
                <w:i w:val="0"/>
                <w:sz w:val="14"/>
                <w:szCs w:val="14"/>
              </w:rPr>
              <w:t>-3,31%</w:t>
            </w:r>
          </w:p>
        </w:tc>
        <w:tc>
          <w:tcPr>
            <w:tcW w:w="996" w:type="dxa"/>
            <w:tcBorders>
              <w:top w:val="single" w:sz="12" w:space="0" w:color="821414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9A64EC" w:rsidRDefault="001C2CAC" w:rsidP="00F209AD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i w:val="0"/>
                <w:sz w:val="14"/>
                <w:szCs w:val="14"/>
              </w:rPr>
              <w:t>-2,69%</w:t>
            </w: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9A64EC" w:rsidRDefault="00012B16" w:rsidP="00012B16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012B16" w:rsidRPr="009A64EC" w:rsidRDefault="00012B16" w:rsidP="00F209AD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Rentabilita průměrného vlastního kapitálu (ROAE) anualizovaná**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Cs/>
                <w:i w:val="0"/>
                <w:sz w:val="14"/>
                <w:szCs w:val="14"/>
              </w:rPr>
              <w:t>-16,97 %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Cs/>
                <w:i w:val="0"/>
                <w:sz w:val="14"/>
                <w:szCs w:val="14"/>
              </w:rPr>
              <w:t>5,26 %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DE4748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i w:val="0"/>
                <w:sz w:val="14"/>
                <w:szCs w:val="14"/>
              </w:rPr>
              <w:t>2,36 %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521983" w:rsidRDefault="00012B16" w:rsidP="00012B16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 w:rsidRPr="00521983">
              <w:rPr>
                <w:rFonts w:ascii="Arial" w:hAnsi="Arial" w:cs="Arial"/>
                <w:bCs/>
                <w:i w:val="0"/>
                <w:sz w:val="14"/>
                <w:szCs w:val="14"/>
              </w:rPr>
              <w:t>-8,27%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9A64EC" w:rsidRDefault="001C2CAC" w:rsidP="00F209AD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i w:val="0"/>
                <w:sz w:val="14"/>
                <w:szCs w:val="14"/>
              </w:rPr>
              <w:t>-6,94%</w:t>
            </w: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top w:val="nil"/>
              <w:bottom w:val="nil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DE4748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9A64EC" w:rsidRDefault="00012B16" w:rsidP="00012B16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9A64EC" w:rsidRDefault="00012B16" w:rsidP="00F209AD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</w:p>
        </w:tc>
      </w:tr>
      <w:tr w:rsidR="00012B16" w:rsidRPr="0078015E" w:rsidTr="00012B16">
        <w:trPr>
          <w:trHeight w:val="227"/>
        </w:trPr>
        <w:tc>
          <w:tcPr>
            <w:tcW w:w="4395" w:type="dxa"/>
            <w:tcBorders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012B16" w:rsidRPr="0078015E" w:rsidRDefault="00012B16" w:rsidP="00B825BB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eastAsia="Times New Roman" w:hAnsi="Arial" w:cs="Arial"/>
                <w:b/>
                <w:bCs/>
                <w:i w:val="0"/>
                <w:iCs w:val="0"/>
                <w:color w:val="702700"/>
                <w:sz w:val="14"/>
                <w:szCs w:val="14"/>
              </w:rPr>
              <w:t>Combined ratio v NŽP***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Cs/>
                <w:i w:val="0"/>
                <w:sz w:val="14"/>
                <w:szCs w:val="14"/>
              </w:rPr>
              <w:t>201,83 %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78015E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 w:rsidRPr="0078015E">
              <w:rPr>
                <w:rFonts w:ascii="Arial" w:hAnsi="Arial" w:cs="Arial"/>
                <w:bCs/>
                <w:i w:val="0"/>
                <w:sz w:val="14"/>
                <w:szCs w:val="14"/>
              </w:rPr>
              <w:t>146,80 %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DE4748" w:rsidRDefault="00012B16" w:rsidP="00213E35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i w:val="0"/>
                <w:sz w:val="14"/>
                <w:szCs w:val="14"/>
              </w:rPr>
              <w:t>139,03 %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521983" w:rsidRDefault="00012B16" w:rsidP="00012B16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 w:rsidRPr="00521983">
              <w:rPr>
                <w:rFonts w:ascii="Arial" w:hAnsi="Arial" w:cs="Arial"/>
                <w:bCs/>
                <w:i w:val="0"/>
                <w:sz w:val="14"/>
                <w:szCs w:val="14"/>
              </w:rPr>
              <w:t>158,09%</w:t>
            </w:r>
          </w:p>
        </w:tc>
        <w:tc>
          <w:tcPr>
            <w:tcW w:w="99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12B16" w:rsidRPr="009A64EC" w:rsidRDefault="001C2CAC" w:rsidP="00F209AD">
            <w:pPr>
              <w:spacing w:after="0" w:line="240" w:lineRule="auto"/>
              <w:jc w:val="right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i w:val="0"/>
                <w:sz w:val="14"/>
                <w:szCs w:val="14"/>
              </w:rPr>
              <w:t>165,37%</w:t>
            </w:r>
          </w:p>
        </w:tc>
      </w:tr>
    </w:tbl>
    <w:p w:rsidR="00DD45AC" w:rsidRPr="0078015E" w:rsidRDefault="00DD45AC" w:rsidP="00DD45AC">
      <w:pPr>
        <w:spacing w:after="0"/>
        <w:rPr>
          <w:rFonts w:ascii="Myriad Pro" w:hAnsi="Myriad Pro"/>
          <w:i w:val="0"/>
          <w:color w:val="00628E"/>
        </w:rPr>
      </w:pPr>
    </w:p>
    <w:p w:rsidR="00DD45AC" w:rsidRPr="0078015E" w:rsidRDefault="00DD45AC" w:rsidP="00DD45AC">
      <w:pPr>
        <w:spacing w:after="0"/>
        <w:ind w:right="-144"/>
        <w:rPr>
          <w:rFonts w:ascii="Arial" w:hAnsi="Arial" w:cs="Arial"/>
          <w:i w:val="0"/>
          <w:sz w:val="12"/>
          <w:szCs w:val="12"/>
        </w:rPr>
      </w:pPr>
    </w:p>
    <w:p w:rsidR="00DD45AC" w:rsidRPr="0078015E" w:rsidRDefault="00DD45AC" w:rsidP="00DD45AC">
      <w:pPr>
        <w:spacing w:after="0"/>
        <w:ind w:right="-144"/>
        <w:rPr>
          <w:rFonts w:ascii="Arial" w:hAnsi="Arial" w:cs="Arial"/>
          <w:i w:val="0"/>
          <w:sz w:val="12"/>
          <w:szCs w:val="12"/>
        </w:rPr>
      </w:pPr>
      <w:r w:rsidRPr="0078015E">
        <w:rPr>
          <w:rFonts w:ascii="Arial" w:hAnsi="Arial" w:cs="Arial"/>
          <w:i w:val="0"/>
          <w:sz w:val="12"/>
          <w:szCs w:val="12"/>
        </w:rPr>
        <w:t xml:space="preserve">*     (=100%*Zisk nebo ztráta / Aktiva celkem)    </w:t>
      </w:r>
      <w:r w:rsidRPr="0078015E">
        <w:rPr>
          <w:rFonts w:ascii="Arial" w:hAnsi="Arial" w:cs="Arial"/>
          <w:i w:val="0"/>
          <w:sz w:val="12"/>
          <w:szCs w:val="12"/>
        </w:rPr>
        <w:tab/>
        <w:t>Pozn.  anuizovaná hodnota znamená, že čitatel je upraven počtem období</w:t>
      </w:r>
    </w:p>
    <w:p w:rsidR="00DD45AC" w:rsidRPr="0078015E" w:rsidRDefault="00DD45AC" w:rsidP="00DD45AC">
      <w:pPr>
        <w:spacing w:after="0"/>
        <w:ind w:right="-144"/>
        <w:rPr>
          <w:rFonts w:ascii="Arial" w:hAnsi="Arial" w:cs="Arial"/>
          <w:i w:val="0"/>
          <w:sz w:val="12"/>
          <w:szCs w:val="12"/>
        </w:rPr>
      </w:pPr>
      <w:r w:rsidRPr="0078015E">
        <w:rPr>
          <w:rFonts w:ascii="Arial" w:hAnsi="Arial" w:cs="Arial"/>
          <w:i w:val="0"/>
          <w:sz w:val="12"/>
          <w:szCs w:val="12"/>
        </w:rPr>
        <w:t>**   (=100%*Zisk nebo ztráta / Vlastní kapitál)</w:t>
      </w:r>
      <w:r w:rsidRPr="0078015E">
        <w:rPr>
          <w:rFonts w:ascii="Arial" w:hAnsi="Arial" w:cs="Arial"/>
          <w:i w:val="0"/>
          <w:sz w:val="12"/>
          <w:szCs w:val="12"/>
        </w:rPr>
        <w:tab/>
        <w:t>Pozn.  anuizovaná hodnota znamená, že čitatel je upraven počtem období</w:t>
      </w:r>
    </w:p>
    <w:p w:rsidR="00DD45AC" w:rsidRPr="0078015E" w:rsidRDefault="00DD45AC" w:rsidP="00DD45AC">
      <w:pPr>
        <w:spacing w:after="0"/>
        <w:ind w:right="-144"/>
        <w:rPr>
          <w:rFonts w:ascii="Arial" w:hAnsi="Arial" w:cs="Arial"/>
          <w:i w:val="0"/>
          <w:sz w:val="12"/>
          <w:szCs w:val="12"/>
        </w:rPr>
      </w:pPr>
      <w:r w:rsidRPr="0078015E">
        <w:rPr>
          <w:rFonts w:ascii="Arial" w:hAnsi="Arial" w:cs="Arial"/>
          <w:i w:val="0"/>
          <w:sz w:val="12"/>
          <w:szCs w:val="12"/>
        </w:rPr>
        <w:t>*** (=100%*(náklady na pojistná plnění, vč. změny stavu rezervy na pojistná plnění, očištěných od zajištění + čistá výše provozních nákladů) / zasloužené pojistné, očištěné od zajištění))</w:t>
      </w:r>
    </w:p>
    <w:p w:rsidR="00DD45AC" w:rsidRPr="0078015E" w:rsidRDefault="00DD45AC" w:rsidP="00DD45AC">
      <w:pPr>
        <w:spacing w:after="0"/>
        <w:rPr>
          <w:rFonts w:ascii="Myriad Pro" w:hAnsi="Myriad Pro"/>
          <w:i w:val="0"/>
          <w:color w:val="00628E"/>
        </w:rPr>
      </w:pP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t>Základní údaje o společnosti:</w:t>
      </w:r>
    </w:p>
    <w:p w:rsidR="007B3236" w:rsidRPr="0078015E" w:rsidRDefault="007B3236" w:rsidP="007B3236">
      <w:pPr>
        <w:pStyle w:val="Bodytext"/>
        <w:ind w:left="720"/>
        <w:contextualSpacing/>
        <w:rPr>
          <w:i w:val="0"/>
          <w:color w:val="702700"/>
          <w:sz w:val="30"/>
          <w:szCs w:val="30"/>
          <w:lang w:val="cs-CZ"/>
        </w:rPr>
      </w:pPr>
    </w:p>
    <w:p w:rsidR="00DD45AC" w:rsidRPr="0078015E" w:rsidRDefault="00717651" w:rsidP="00717651">
      <w:pPr>
        <w:pStyle w:val="Bodytext"/>
        <w:ind w:left="4245" w:hanging="4245"/>
        <w:rPr>
          <w:i w:val="0"/>
          <w:lang w:val="cs-CZ"/>
        </w:rPr>
      </w:pPr>
      <w:r w:rsidRPr="0078015E">
        <w:rPr>
          <w:i w:val="0"/>
          <w:lang w:val="cs-CZ"/>
        </w:rPr>
        <w:t>Obchodní firma: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  <w:t xml:space="preserve">Credendo – Short-term EU Risks </w:t>
      </w:r>
      <w:r w:rsidR="00DD45AC" w:rsidRPr="0078015E">
        <w:rPr>
          <w:i w:val="0"/>
          <w:lang w:val="cs-CZ"/>
        </w:rPr>
        <w:t xml:space="preserve">úvěrová pojišťovna, a.s. </w:t>
      </w:r>
      <w:r w:rsidR="00A416B4" w:rsidRPr="0078015E">
        <w:rPr>
          <w:i w:val="0"/>
          <w:lang w:val="cs-CZ"/>
        </w:rPr>
        <w:t>(</w:t>
      </w:r>
      <w:r w:rsidR="00DD45AC" w:rsidRPr="0078015E">
        <w:rPr>
          <w:i w:val="0"/>
          <w:lang w:val="cs-CZ"/>
        </w:rPr>
        <w:t>dále jen „společnost“)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Právní forma: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akciová společnost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Sídlo společnosti: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Na Pankráci 1683/127, 140 00 Praha 4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IČO: 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27245322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Datum zápisu do OR: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24. června 2005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Datum zápisu poslední změny v OR: </w:t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13. června 2016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Účel poslední změny v OR: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 xml:space="preserve">změny v osobách členů </w:t>
      </w:r>
      <w:r w:rsidR="00717651" w:rsidRPr="0078015E">
        <w:rPr>
          <w:i w:val="0"/>
          <w:lang w:val="cs-CZ"/>
        </w:rPr>
        <w:t>dozorčí rady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Základní kapitál zapsaný v OR: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200 000 000,- Kč</w:t>
      </w:r>
    </w:p>
    <w:p w:rsidR="00DD45AC" w:rsidRPr="0078015E" w:rsidRDefault="00DD45AC" w:rsidP="00F52613">
      <w:pPr>
        <w:pStyle w:val="Bodytext"/>
        <w:ind w:right="-853"/>
        <w:rPr>
          <w:i w:val="0"/>
          <w:lang w:val="cs-CZ"/>
        </w:rPr>
      </w:pPr>
      <w:r w:rsidRPr="0078015E">
        <w:rPr>
          <w:i w:val="0"/>
          <w:lang w:val="cs-CZ"/>
        </w:rPr>
        <w:t xml:space="preserve">Výše splaceného základního kapitálu: </w:t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200 000 000,- Kč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Druh, forma, podoba a počet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emitovaných akcií s uvedením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</w:p>
    <w:p w:rsidR="00DD45AC" w:rsidRPr="0078015E" w:rsidRDefault="00DD45AC" w:rsidP="00F52613">
      <w:pPr>
        <w:pStyle w:val="Bodytext"/>
        <w:ind w:left="4245" w:hanging="4245"/>
        <w:rPr>
          <w:i w:val="0"/>
          <w:lang w:val="cs-CZ"/>
        </w:rPr>
      </w:pPr>
      <w:r w:rsidRPr="0078015E">
        <w:rPr>
          <w:i w:val="0"/>
          <w:lang w:val="cs-CZ"/>
        </w:rPr>
        <w:t xml:space="preserve">jejich jmenovité hodnoty: </w:t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200 ks kmenové akcie na jméno v zaknihované podobě ve jmenovité hodnotě 1 000 000,- Kč</w:t>
      </w:r>
    </w:p>
    <w:p w:rsidR="00DD45AC" w:rsidRPr="0078015E" w:rsidRDefault="00DD45AC" w:rsidP="00F52613">
      <w:pPr>
        <w:pStyle w:val="Bodytext"/>
        <w:ind w:right="-428"/>
        <w:rPr>
          <w:i w:val="0"/>
          <w:lang w:val="cs-CZ"/>
        </w:rPr>
      </w:pPr>
      <w:r w:rsidRPr="0078015E">
        <w:rPr>
          <w:i w:val="0"/>
          <w:lang w:val="cs-CZ"/>
        </w:rPr>
        <w:t>Nabytí vlastních akcií: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společnost od svého vzniku nikdy nenabyla vlastní akcie</w:t>
      </w:r>
    </w:p>
    <w:p w:rsidR="00DD45AC" w:rsidRPr="0078015E" w:rsidRDefault="00DD45AC" w:rsidP="00F52613">
      <w:pPr>
        <w:pStyle w:val="Bodytext"/>
        <w:ind w:right="-428"/>
        <w:rPr>
          <w:i w:val="0"/>
          <w:lang w:val="cs-CZ"/>
        </w:rPr>
      </w:pPr>
      <w:r w:rsidRPr="0078015E">
        <w:rPr>
          <w:i w:val="0"/>
          <w:lang w:val="cs-CZ"/>
        </w:rPr>
        <w:t>Nabytí zatímních listů: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společnost od svého vzniku nikdy nenabyla zatímní listy</w:t>
      </w: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 xml:space="preserve">Nabytí jiných účastnických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</w:r>
    </w:p>
    <w:p w:rsidR="00DD45AC" w:rsidRDefault="00DD45AC" w:rsidP="00F52613">
      <w:pPr>
        <w:pStyle w:val="Bodytext"/>
        <w:ind w:left="4245" w:hanging="4245"/>
        <w:rPr>
          <w:i w:val="0"/>
          <w:lang w:val="cs-CZ"/>
        </w:rPr>
      </w:pPr>
      <w:r w:rsidRPr="0078015E">
        <w:rPr>
          <w:i w:val="0"/>
          <w:lang w:val="cs-CZ"/>
        </w:rPr>
        <w:t>cenných papírů:</w:t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společnost od svého vzniku nikdy nenabyla účastnické cenné papíry</w:t>
      </w:r>
    </w:p>
    <w:p w:rsidR="007E0630" w:rsidRPr="0078015E" w:rsidRDefault="007E0630" w:rsidP="00F52613">
      <w:pPr>
        <w:pStyle w:val="Bodytext"/>
        <w:ind w:left="4245" w:hanging="4245"/>
        <w:rPr>
          <w:i w:val="0"/>
          <w:lang w:val="cs-CZ"/>
        </w:rPr>
      </w:pPr>
    </w:p>
    <w:p w:rsidR="00DD45AC" w:rsidRPr="0078015E" w:rsidRDefault="00DD45AC" w:rsidP="00F52613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Počet organizačních jednotek:</w:t>
      </w:r>
      <w:r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="00F52613"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>2</w:t>
      </w:r>
    </w:p>
    <w:p w:rsidR="00717651" w:rsidRPr="0078015E" w:rsidRDefault="00717651" w:rsidP="00F52613">
      <w:pPr>
        <w:pStyle w:val="Bodytext"/>
        <w:ind w:left="4248" w:right="-286"/>
        <w:rPr>
          <w:i w:val="0"/>
          <w:lang w:val="cs-CZ"/>
        </w:rPr>
      </w:pPr>
    </w:p>
    <w:p w:rsidR="00DD45AC" w:rsidRPr="0078015E" w:rsidRDefault="00F52613" w:rsidP="00F52613">
      <w:pPr>
        <w:pStyle w:val="Bodytext"/>
        <w:ind w:left="4248" w:right="-286"/>
        <w:rPr>
          <w:i w:val="0"/>
          <w:lang w:val="cs-CZ"/>
        </w:rPr>
      </w:pPr>
      <w:r w:rsidRPr="0078015E">
        <w:rPr>
          <w:i w:val="0"/>
          <w:lang w:val="cs-CZ"/>
        </w:rPr>
        <w:t xml:space="preserve">Credendo – Short-Term EU Risks úvěrová pojišťovna, a.s., </w:t>
      </w:r>
      <w:r w:rsidR="00DD45AC" w:rsidRPr="0078015E">
        <w:rPr>
          <w:i w:val="0"/>
          <w:lang w:val="cs-CZ"/>
        </w:rPr>
        <w:t>pobočka poisťovne z iného členského štátu</w:t>
      </w:r>
    </w:p>
    <w:p w:rsidR="00DD45AC" w:rsidRPr="0078015E" w:rsidRDefault="00DD45AC" w:rsidP="00F52613">
      <w:pPr>
        <w:pStyle w:val="Bodytext"/>
        <w:ind w:left="4248"/>
        <w:rPr>
          <w:i w:val="0"/>
          <w:lang w:val="cs-CZ"/>
        </w:rPr>
      </w:pPr>
      <w:r w:rsidRPr="0078015E">
        <w:rPr>
          <w:i w:val="0"/>
          <w:lang w:val="cs-CZ"/>
        </w:rPr>
        <w:t>Mostová 2, 811 02 Bratislava, Slovenská republika</w:t>
      </w:r>
    </w:p>
    <w:p w:rsidR="00F52613" w:rsidRPr="0078015E" w:rsidRDefault="00F52613" w:rsidP="00F52613">
      <w:pPr>
        <w:pStyle w:val="Bodytext"/>
        <w:ind w:left="4248"/>
        <w:rPr>
          <w:i w:val="0"/>
          <w:lang w:val="cs-CZ"/>
        </w:rPr>
      </w:pPr>
    </w:p>
    <w:p w:rsidR="00DD45AC" w:rsidRPr="0078015E" w:rsidRDefault="00F52613" w:rsidP="00F52613">
      <w:pPr>
        <w:pStyle w:val="Bodytext"/>
        <w:ind w:left="4248"/>
        <w:rPr>
          <w:i w:val="0"/>
          <w:lang w:val="cs-CZ"/>
        </w:rPr>
      </w:pPr>
      <w:r w:rsidRPr="0078015E">
        <w:rPr>
          <w:i w:val="0"/>
          <w:lang w:val="cs-CZ"/>
        </w:rPr>
        <w:t xml:space="preserve">Credendo – Short-Term EU Risks </w:t>
      </w:r>
      <w:r w:rsidR="00DD45AC" w:rsidRPr="0078015E">
        <w:rPr>
          <w:i w:val="0"/>
          <w:lang w:val="cs-CZ"/>
        </w:rPr>
        <w:t>úvěrová pojišťovna, a.s., Spółka Akcyjna Oddział w Polsce</w:t>
      </w:r>
    </w:p>
    <w:p w:rsidR="00D32F4F" w:rsidRPr="0078015E" w:rsidRDefault="00DD45AC" w:rsidP="007B3236">
      <w:pPr>
        <w:pStyle w:val="Bodytext"/>
        <w:ind w:left="3540" w:firstLine="708"/>
        <w:rPr>
          <w:i w:val="0"/>
          <w:lang w:val="cs-CZ"/>
        </w:rPr>
      </w:pPr>
      <w:r w:rsidRPr="0078015E">
        <w:rPr>
          <w:i w:val="0"/>
          <w:lang w:val="cs-CZ"/>
        </w:rPr>
        <w:t>Puławska 182, 02-670 Varšava, Polsko</w:t>
      </w:r>
      <w:r w:rsidR="00D32F4F" w:rsidRPr="0078015E">
        <w:rPr>
          <w:i w:val="0"/>
          <w:lang w:val="cs-CZ"/>
        </w:rPr>
        <w:br w:type="page"/>
      </w: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lastRenderedPageBreak/>
        <w:t>Údaje o činnosti společnosti:</w:t>
      </w:r>
    </w:p>
    <w:p w:rsidR="0026744E" w:rsidRPr="0078015E" w:rsidRDefault="0026744E" w:rsidP="0026744E">
      <w:pPr>
        <w:pStyle w:val="Bodytext"/>
        <w:ind w:left="720"/>
        <w:contextualSpacing/>
        <w:rPr>
          <w:i w:val="0"/>
          <w:color w:val="702700"/>
          <w:sz w:val="30"/>
          <w:szCs w:val="30"/>
          <w:lang w:val="cs-CZ"/>
        </w:rPr>
      </w:pPr>
    </w:p>
    <w:p w:rsidR="00F52613" w:rsidRPr="0078015E" w:rsidRDefault="00DD45AC" w:rsidP="000F11E6">
      <w:pPr>
        <w:pStyle w:val="Numberedbulletlevel2"/>
        <w:numPr>
          <w:ilvl w:val="1"/>
          <w:numId w:val="6"/>
        </w:numPr>
        <w:ind w:left="426" w:hanging="426"/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>Předmět podnikání</w:t>
      </w:r>
      <w:r w:rsidR="0026744E" w:rsidRPr="0078015E">
        <w:rPr>
          <w:b/>
          <w:i w:val="0"/>
          <w:lang w:val="cs-CZ"/>
        </w:rPr>
        <w:t>:</w:t>
      </w:r>
    </w:p>
    <w:p w:rsidR="0026744E" w:rsidRPr="0078015E" w:rsidRDefault="0026744E" w:rsidP="0026744E">
      <w:pPr>
        <w:pStyle w:val="Bulletlevel1"/>
        <w:numPr>
          <w:ilvl w:val="0"/>
          <w:numId w:val="0"/>
        </w:numPr>
        <w:ind w:left="284"/>
        <w:rPr>
          <w:lang w:val="cs-CZ"/>
        </w:rPr>
      </w:pPr>
    </w:p>
    <w:p w:rsidR="00DD45AC" w:rsidRPr="0078015E" w:rsidRDefault="00DD45AC" w:rsidP="00FE719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pojišťovací činnost v rozsahu odvětví č. 13, č. 14 a č. 15 neživotních pojištění dle přílohy č. 1 část B zákona č. 277/2009 Sb., o pojišťovnictví, ve znění pozdějších předpisů, </w:t>
      </w:r>
      <w:r w:rsidRPr="0078015E">
        <w:rPr>
          <w:rFonts w:ascii="Arial" w:hAnsi="Arial" w:cs="Arial"/>
          <w:i w:val="0"/>
        </w:rPr>
        <w:tab/>
      </w:r>
    </w:p>
    <w:p w:rsidR="00DD45AC" w:rsidRPr="0078015E" w:rsidRDefault="00DD45AC" w:rsidP="00FE719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činnosti související s pojišťovací činností dle zákona o pojišťovnictví a v rozs</w:t>
      </w:r>
      <w:r w:rsidR="0026744E" w:rsidRPr="0078015E">
        <w:rPr>
          <w:rFonts w:ascii="Arial" w:hAnsi="Arial" w:cs="Arial"/>
          <w:i w:val="0"/>
        </w:rPr>
        <w:t>ahu daném příslušným povolením:</w:t>
      </w:r>
    </w:p>
    <w:p w:rsidR="0026744E" w:rsidRPr="0078015E" w:rsidRDefault="0026744E" w:rsidP="0026744E">
      <w:pPr>
        <w:spacing w:after="0" w:line="240" w:lineRule="auto"/>
        <w:ind w:left="426"/>
        <w:jc w:val="both"/>
        <w:rPr>
          <w:rFonts w:ascii="Arial" w:hAnsi="Arial" w:cs="Arial"/>
          <w:i w:val="0"/>
        </w:rPr>
      </w:pPr>
    </w:p>
    <w:p w:rsidR="0026744E" w:rsidRPr="0078015E" w:rsidRDefault="00DD45AC" w:rsidP="00FE71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zprostředkovatelská činnost prováděná v souvislosti s pojišťovací činností,</w:t>
      </w:r>
    </w:p>
    <w:p w:rsidR="00DD45AC" w:rsidRPr="0078015E" w:rsidRDefault="0026744E" w:rsidP="00FE71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poradenská činnost související s pojišťovací činností,</w:t>
      </w:r>
    </w:p>
    <w:p w:rsidR="0026744E" w:rsidRPr="0078015E" w:rsidRDefault="0026744E" w:rsidP="00FE71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šetření pojistných událostí prováděné samostatnými likvidátory pojistných událostí na základě smlouvy s pojišťovnou.</w:t>
      </w:r>
    </w:p>
    <w:p w:rsidR="0026744E" w:rsidRPr="0078015E" w:rsidRDefault="0026744E" w:rsidP="0026744E">
      <w:pPr>
        <w:spacing w:after="0" w:line="240" w:lineRule="auto"/>
        <w:jc w:val="both"/>
        <w:rPr>
          <w:rFonts w:ascii="Arial" w:hAnsi="Arial" w:cs="Arial"/>
          <w:i w:val="0"/>
        </w:rPr>
      </w:pPr>
    </w:p>
    <w:p w:rsidR="00DD45AC" w:rsidRPr="0078015E" w:rsidRDefault="00DD45AC" w:rsidP="000F11E6">
      <w:pPr>
        <w:pStyle w:val="Numberedbulletlevel2"/>
        <w:numPr>
          <w:ilvl w:val="1"/>
          <w:numId w:val="6"/>
        </w:numPr>
        <w:ind w:left="426" w:hanging="426"/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>Přehled činností, jejichž vykonávání nebo poskytování bylo Českou národní bankou omezeno, pozastaveno nebo vyloučeno:</w:t>
      </w:r>
    </w:p>
    <w:p w:rsidR="0026744E" w:rsidRPr="0078015E" w:rsidRDefault="0026744E" w:rsidP="0026744E">
      <w:pPr>
        <w:pStyle w:val="Bulletlevel1"/>
        <w:numPr>
          <w:ilvl w:val="0"/>
          <w:numId w:val="0"/>
        </w:numPr>
        <w:ind w:left="284"/>
        <w:rPr>
          <w:lang w:val="cs-CZ"/>
        </w:rPr>
      </w:pPr>
    </w:p>
    <w:p w:rsidR="00DD45AC" w:rsidRPr="0078015E" w:rsidRDefault="00DD45AC" w:rsidP="0026744E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Společnost nemá žádné činnosti, jejichž vykonávání nebo poskytování bylo Českou národní bankou</w:t>
      </w:r>
    </w:p>
    <w:p w:rsidR="00DD45AC" w:rsidRDefault="00DD45AC" w:rsidP="0026744E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omezeno, pozastaveno nebo vyloučeno.</w:t>
      </w:r>
    </w:p>
    <w:p w:rsidR="007E0630" w:rsidRPr="0078015E" w:rsidRDefault="007E0630" w:rsidP="0026744E">
      <w:pPr>
        <w:pStyle w:val="Bodytext"/>
        <w:rPr>
          <w:i w:val="0"/>
          <w:lang w:val="cs-CZ"/>
        </w:rPr>
      </w:pPr>
    </w:p>
    <w:p w:rsidR="00DD45AC" w:rsidRPr="0078015E" w:rsidRDefault="00DD45AC" w:rsidP="0026744E">
      <w:pPr>
        <w:spacing w:after="0" w:line="240" w:lineRule="auto"/>
        <w:ind w:left="426"/>
        <w:jc w:val="both"/>
        <w:rPr>
          <w:rFonts w:ascii="Myriad Pro" w:hAnsi="Myriad Pro"/>
          <w:i w:val="0"/>
          <w:color w:val="595959"/>
          <w:sz w:val="18"/>
          <w:szCs w:val="18"/>
        </w:rPr>
      </w:pP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t>Údaje o složení akcionářů společnosti:</w:t>
      </w:r>
    </w:p>
    <w:p w:rsidR="0026744E" w:rsidRPr="0078015E" w:rsidRDefault="0026744E" w:rsidP="00DD45AC">
      <w:pPr>
        <w:spacing w:after="0" w:line="240" w:lineRule="auto"/>
        <w:jc w:val="both"/>
        <w:rPr>
          <w:rFonts w:ascii="Arial" w:hAnsi="Arial" w:cs="Arial"/>
          <w:i w:val="0"/>
          <w:color w:val="821414"/>
        </w:rPr>
      </w:pPr>
    </w:p>
    <w:p w:rsidR="00DD45AC" w:rsidRPr="0078015E" w:rsidRDefault="00DD45AC" w:rsidP="00DD45AC">
      <w:pPr>
        <w:spacing w:after="0" w:line="240" w:lineRule="auto"/>
        <w:jc w:val="both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 xml:space="preserve">Obchodní název, právní forma, adresa sídla </w:t>
      </w:r>
      <w:r w:rsidRPr="0078015E">
        <w:rPr>
          <w:rFonts w:ascii="Arial" w:hAnsi="Arial" w:cs="Arial"/>
          <w:i w:val="0"/>
          <w:color w:val="702700"/>
        </w:rPr>
        <w:tab/>
        <w:t xml:space="preserve">     </w:t>
      </w:r>
      <w:r w:rsidRPr="0078015E">
        <w:rPr>
          <w:rFonts w:ascii="Arial" w:hAnsi="Arial" w:cs="Arial"/>
          <w:i w:val="0"/>
          <w:color w:val="702700"/>
        </w:rPr>
        <w:tab/>
      </w:r>
      <w:r w:rsidR="00717651" w:rsidRPr="0078015E">
        <w:rPr>
          <w:rFonts w:ascii="Arial" w:hAnsi="Arial" w:cs="Arial"/>
          <w:i w:val="0"/>
          <w:color w:val="702700"/>
        </w:rPr>
        <w:tab/>
      </w:r>
      <w:r w:rsidR="00717651"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>výše podílu na hlas. právech v %</w:t>
      </w:r>
    </w:p>
    <w:p w:rsidR="00717651" w:rsidRPr="0078015E" w:rsidRDefault="00717651" w:rsidP="00717651">
      <w:pPr>
        <w:pStyle w:val="Bodytext"/>
        <w:rPr>
          <w:i w:val="0"/>
          <w:lang w:val="cs-CZ"/>
        </w:rPr>
      </w:pPr>
    </w:p>
    <w:p w:rsidR="00DD45AC" w:rsidRPr="0078015E" w:rsidRDefault="00717651" w:rsidP="00717651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Delcredere I Ducroire</w:t>
      </w:r>
      <w:r w:rsidR="00560F9E" w:rsidRPr="0078015E">
        <w:rPr>
          <w:rStyle w:val="FootnoteReference"/>
          <w:i w:val="0"/>
          <w:lang w:val="cs-CZ"/>
        </w:rPr>
        <w:footnoteReference w:id="1"/>
      </w:r>
      <w:r w:rsidRPr="0078015E">
        <w:rPr>
          <w:i w:val="0"/>
          <w:lang w:val="cs-CZ"/>
        </w:rPr>
        <w:t xml:space="preserve"> (dále Credendo – Export Credit Agency)</w:t>
      </w:r>
      <w:r w:rsidR="00DD45AC" w:rsidRPr="0078015E">
        <w:rPr>
          <w:i w:val="0"/>
          <w:lang w:val="cs-CZ"/>
        </w:rPr>
        <w:t xml:space="preserve"> </w:t>
      </w:r>
      <w:r w:rsidRPr="0078015E">
        <w:rPr>
          <w:i w:val="0"/>
          <w:lang w:val="cs-CZ"/>
        </w:rPr>
        <w:tab/>
      </w:r>
      <w:r w:rsidRPr="0078015E">
        <w:rPr>
          <w:i w:val="0"/>
          <w:lang w:val="cs-CZ"/>
        </w:rPr>
        <w:tab/>
        <w:t>100 %</w:t>
      </w:r>
    </w:p>
    <w:p w:rsidR="00717651" w:rsidRPr="0078015E" w:rsidRDefault="00DD45AC" w:rsidP="00DD45AC">
      <w:pPr>
        <w:spacing w:after="0" w:line="240" w:lineRule="auto"/>
        <w:jc w:val="both"/>
        <w:rPr>
          <w:rFonts w:ascii="Arial" w:hAnsi="Arial"/>
          <w:i w:val="0"/>
        </w:rPr>
      </w:pPr>
      <w:r w:rsidRPr="0078015E">
        <w:rPr>
          <w:rFonts w:ascii="Arial" w:hAnsi="Arial"/>
          <w:i w:val="0"/>
        </w:rPr>
        <w:t xml:space="preserve">Rue Montoyerstraat 3, 1000 Brusel, </w:t>
      </w:r>
      <w:r w:rsidRPr="0078015E">
        <w:rPr>
          <w:rFonts w:ascii="Arial" w:hAnsi="Arial"/>
          <w:i w:val="0"/>
        </w:rPr>
        <w:tab/>
      </w:r>
      <w:r w:rsidRPr="0078015E">
        <w:rPr>
          <w:rFonts w:ascii="Arial" w:hAnsi="Arial"/>
          <w:i w:val="0"/>
        </w:rPr>
        <w:tab/>
      </w:r>
      <w:r w:rsidRPr="0078015E">
        <w:rPr>
          <w:rFonts w:ascii="Arial" w:hAnsi="Arial"/>
          <w:i w:val="0"/>
        </w:rPr>
        <w:tab/>
      </w:r>
      <w:r w:rsidRPr="0078015E">
        <w:rPr>
          <w:rFonts w:ascii="Arial" w:hAnsi="Arial"/>
          <w:i w:val="0"/>
        </w:rPr>
        <w:tab/>
      </w:r>
      <w:r w:rsidRPr="0078015E">
        <w:rPr>
          <w:rFonts w:ascii="Arial" w:hAnsi="Arial"/>
          <w:i w:val="0"/>
        </w:rPr>
        <w:tab/>
      </w:r>
    </w:p>
    <w:p w:rsidR="00DD45AC" w:rsidRDefault="00DD45AC" w:rsidP="00DD45AC">
      <w:pPr>
        <w:spacing w:after="0" w:line="240" w:lineRule="auto"/>
        <w:jc w:val="both"/>
        <w:rPr>
          <w:rFonts w:ascii="Arial" w:hAnsi="Arial"/>
          <w:i w:val="0"/>
        </w:rPr>
      </w:pPr>
      <w:r w:rsidRPr="0078015E">
        <w:rPr>
          <w:rFonts w:ascii="Arial" w:hAnsi="Arial"/>
          <w:i w:val="0"/>
        </w:rPr>
        <w:t>Belgické království</w:t>
      </w:r>
    </w:p>
    <w:p w:rsidR="007E0630" w:rsidRPr="0078015E" w:rsidRDefault="007E0630" w:rsidP="00DD45AC">
      <w:pPr>
        <w:spacing w:after="0" w:line="240" w:lineRule="auto"/>
        <w:jc w:val="both"/>
        <w:rPr>
          <w:rFonts w:ascii="Arial" w:hAnsi="Arial"/>
          <w:i w:val="0"/>
        </w:rPr>
      </w:pPr>
    </w:p>
    <w:p w:rsidR="00DD45AC" w:rsidRPr="0078015E" w:rsidRDefault="00DD45AC" w:rsidP="00DD45AC">
      <w:pPr>
        <w:spacing w:after="0" w:line="240" w:lineRule="auto"/>
        <w:jc w:val="both"/>
        <w:rPr>
          <w:rFonts w:ascii="Arial" w:hAnsi="Arial" w:cs="Arial"/>
          <w:i w:val="0"/>
          <w:color w:val="595959"/>
        </w:rPr>
      </w:pP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t>Údaje o struktuře skupiny, jejímž je společnost členem:</w:t>
      </w:r>
    </w:p>
    <w:p w:rsidR="0026744E" w:rsidRPr="0078015E" w:rsidRDefault="0026744E" w:rsidP="0026744E">
      <w:pPr>
        <w:pStyle w:val="Numberedbulletlevel2"/>
        <w:numPr>
          <w:ilvl w:val="0"/>
          <w:numId w:val="0"/>
        </w:numPr>
        <w:rPr>
          <w:b/>
          <w:i w:val="0"/>
          <w:lang w:val="cs-CZ"/>
        </w:rPr>
      </w:pPr>
    </w:p>
    <w:p w:rsidR="00DD45AC" w:rsidRPr="0078015E" w:rsidRDefault="00DD45AC" w:rsidP="0026744E">
      <w:pPr>
        <w:pStyle w:val="Numberedbulletlevel2"/>
        <w:numPr>
          <w:ilvl w:val="0"/>
          <w:numId w:val="0"/>
        </w:numPr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 xml:space="preserve">5.1. Struktura skupiny k </w:t>
      </w:r>
      <w:r w:rsidR="00857562">
        <w:rPr>
          <w:b/>
          <w:i w:val="0"/>
          <w:lang w:val="cs-CZ"/>
        </w:rPr>
        <w:t>31</w:t>
      </w:r>
      <w:r w:rsidRPr="0078015E">
        <w:rPr>
          <w:b/>
          <w:i w:val="0"/>
          <w:lang w:val="cs-CZ"/>
        </w:rPr>
        <w:t xml:space="preserve">. </w:t>
      </w:r>
      <w:r w:rsidR="00857562">
        <w:rPr>
          <w:b/>
          <w:i w:val="0"/>
          <w:lang w:val="cs-CZ"/>
        </w:rPr>
        <w:t>12</w:t>
      </w:r>
      <w:r w:rsidRPr="0078015E">
        <w:rPr>
          <w:b/>
          <w:i w:val="0"/>
          <w:lang w:val="cs-CZ"/>
        </w:rPr>
        <w:t xml:space="preserve">. </w:t>
      </w:r>
      <w:r w:rsidR="0026744E" w:rsidRPr="0078015E">
        <w:rPr>
          <w:b/>
          <w:i w:val="0"/>
          <w:lang w:val="cs-CZ"/>
        </w:rPr>
        <w:t>201</w:t>
      </w:r>
      <w:r w:rsidR="00550BD1" w:rsidRPr="0078015E">
        <w:rPr>
          <w:b/>
          <w:i w:val="0"/>
          <w:lang w:val="cs-CZ"/>
        </w:rPr>
        <w:t>7</w:t>
      </w:r>
      <w:r w:rsidRPr="0078015E">
        <w:rPr>
          <w:b/>
          <w:i w:val="0"/>
          <w:lang w:val="cs-CZ"/>
        </w:rPr>
        <w:t>:</w:t>
      </w:r>
    </w:p>
    <w:p w:rsidR="00DD45AC" w:rsidRPr="0078015E" w:rsidRDefault="005D12FF" w:rsidP="00DD45AC">
      <w:pPr>
        <w:spacing w:after="120"/>
        <w:rPr>
          <w:rFonts w:ascii="Myriad Pro" w:hAnsi="Myriad Pro"/>
          <w:i w:val="0"/>
          <w:color w:val="821414"/>
        </w:rPr>
      </w:pPr>
      <w:r w:rsidRPr="0078015E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758A39A" wp14:editId="4E893053">
            <wp:simplePos x="0" y="0"/>
            <wp:positionH relativeFrom="column">
              <wp:posOffset>699770</wp:posOffset>
            </wp:positionH>
            <wp:positionV relativeFrom="paragraph">
              <wp:posOffset>103505</wp:posOffset>
            </wp:positionV>
            <wp:extent cx="426720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504" y="21413"/>
                <wp:lineTo x="21504" y="0"/>
                <wp:lineTo x="0" y="0"/>
              </wp:wrapPolygon>
            </wp:wrapTight>
            <wp:docPr id="53" name="Obrázek 53" descr="H:\MOJE\GRAFIKA_PREZENTAČNÍ MATERIÁLY\organizační a skupinová  struktura\struktura bíl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OJE\GRAFIKA_PREZENTAČNÍ MATERIÁLY\organizační a skupinová  struktura\struktura bíl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5AC" w:rsidRPr="0078015E" w:rsidRDefault="00DD45AC" w:rsidP="00DD45AC">
      <w:pPr>
        <w:spacing w:after="120"/>
        <w:rPr>
          <w:rFonts w:ascii="Myriad Pro" w:hAnsi="Myriad Pro"/>
          <w:i w:val="0"/>
          <w:color w:val="821414"/>
        </w:rPr>
      </w:pPr>
    </w:p>
    <w:p w:rsidR="00DD45AC" w:rsidRPr="0078015E" w:rsidRDefault="00DD45AC" w:rsidP="00DD45AC">
      <w:pPr>
        <w:spacing w:after="120"/>
        <w:rPr>
          <w:rFonts w:ascii="Myriad Pro" w:hAnsi="Myriad Pro"/>
          <w:i w:val="0"/>
          <w:color w:val="821414"/>
        </w:rPr>
      </w:pPr>
    </w:p>
    <w:p w:rsidR="00DD45AC" w:rsidRPr="0078015E" w:rsidRDefault="00DD45AC" w:rsidP="00DD45AC">
      <w:pPr>
        <w:spacing w:after="120"/>
        <w:rPr>
          <w:rFonts w:ascii="Myriad Pro" w:hAnsi="Myriad Pro"/>
          <w:i w:val="0"/>
          <w:color w:val="821414"/>
        </w:rPr>
      </w:pPr>
    </w:p>
    <w:p w:rsidR="00DD45AC" w:rsidRPr="0078015E" w:rsidRDefault="00DD45AC" w:rsidP="00DD45AC">
      <w:pPr>
        <w:spacing w:after="120"/>
        <w:rPr>
          <w:rFonts w:ascii="Myriad Pro" w:hAnsi="Myriad Pro"/>
          <w:i w:val="0"/>
          <w:color w:val="821414"/>
        </w:rPr>
      </w:pPr>
    </w:p>
    <w:p w:rsidR="00DD45AC" w:rsidRPr="0078015E" w:rsidRDefault="00DD45AC" w:rsidP="00DD45AC">
      <w:pPr>
        <w:spacing w:after="120"/>
        <w:rPr>
          <w:rFonts w:ascii="Myriad Pro" w:hAnsi="Myriad Pro"/>
          <w:i w:val="0"/>
          <w:color w:val="821414"/>
        </w:rPr>
      </w:pPr>
    </w:p>
    <w:p w:rsidR="00DD45AC" w:rsidRPr="0078015E" w:rsidRDefault="00DD45AC" w:rsidP="0026744E">
      <w:pPr>
        <w:pStyle w:val="Numberedbulletlevel2"/>
        <w:numPr>
          <w:ilvl w:val="0"/>
          <w:numId w:val="0"/>
        </w:numPr>
        <w:ind w:left="397" w:hanging="397"/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>5.2. Údaje o osobách, které jsou ve vztahu k pojišťovně ovládanými osobami:</w:t>
      </w:r>
    </w:p>
    <w:p w:rsidR="0026744E" w:rsidRPr="0078015E" w:rsidRDefault="0026744E" w:rsidP="0026744E">
      <w:pPr>
        <w:pStyle w:val="Bodytext"/>
        <w:rPr>
          <w:i w:val="0"/>
          <w:lang w:val="cs-CZ"/>
        </w:rPr>
      </w:pPr>
    </w:p>
    <w:p w:rsidR="00DD45AC" w:rsidRPr="0078015E" w:rsidRDefault="00DD45AC" w:rsidP="0026744E">
      <w:pPr>
        <w:pStyle w:val="Bodytext"/>
        <w:rPr>
          <w:i w:val="0"/>
          <w:lang w:val="cs-CZ"/>
        </w:rPr>
      </w:pPr>
      <w:r w:rsidRPr="0078015E">
        <w:rPr>
          <w:i w:val="0"/>
          <w:lang w:val="cs-CZ"/>
        </w:rPr>
        <w:t>Vůči společnosti není žádná osoba ve vztahu ovládané osoby; v žádné není společnost ani většinovým společníkem.</w:t>
      </w: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rFonts w:ascii="Myriad Pro" w:hAnsi="Myriad Pro"/>
          <w:color w:val="595959"/>
          <w:lang w:val="cs-CZ"/>
        </w:rPr>
        <w:br w:type="page"/>
      </w:r>
      <w:r w:rsidRPr="0078015E">
        <w:rPr>
          <w:i w:val="0"/>
          <w:color w:val="702700"/>
          <w:sz w:val="30"/>
          <w:szCs w:val="30"/>
          <w:lang w:val="cs-CZ"/>
        </w:rPr>
        <w:lastRenderedPageBreak/>
        <w:t>Organizační struktura:</w:t>
      </w:r>
    </w:p>
    <w:p w:rsidR="00DD45AC" w:rsidRPr="0078015E" w:rsidRDefault="00DD45AC" w:rsidP="00DD45AC">
      <w:pPr>
        <w:spacing w:after="120"/>
        <w:jc w:val="center"/>
        <w:rPr>
          <w:i w:val="0"/>
          <w:noProof/>
        </w:rPr>
      </w:pPr>
    </w:p>
    <w:p w:rsidR="00DD45AC" w:rsidRPr="0078015E" w:rsidRDefault="00DD45AC" w:rsidP="00DD45AC">
      <w:pPr>
        <w:spacing w:after="120"/>
        <w:jc w:val="center"/>
        <w:rPr>
          <w:i w:val="0"/>
          <w:noProof/>
        </w:rPr>
      </w:pPr>
    </w:p>
    <w:p w:rsidR="00DD45AC" w:rsidRPr="0078015E" w:rsidRDefault="005E7BA8" w:rsidP="00DD45AC">
      <w:pPr>
        <w:spacing w:after="120"/>
        <w:jc w:val="center"/>
        <w:rPr>
          <w:i w:val="0"/>
          <w:noProof/>
        </w:rPr>
      </w:pPr>
      <w:r w:rsidRPr="0078015E">
        <w:rPr>
          <w:i w:val="0"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F6E52C2" wp14:editId="2669C78D">
            <wp:simplePos x="0" y="0"/>
            <wp:positionH relativeFrom="column">
              <wp:posOffset>585470</wp:posOffset>
            </wp:positionH>
            <wp:positionV relativeFrom="paragraph">
              <wp:posOffset>342265</wp:posOffset>
            </wp:positionV>
            <wp:extent cx="4794885" cy="4326890"/>
            <wp:effectExtent l="0" t="0" r="5715" b="0"/>
            <wp:wrapTight wrapText="bothSides">
              <wp:wrapPolygon edited="0">
                <wp:start x="0" y="0"/>
                <wp:lineTo x="0" y="21492"/>
                <wp:lineTo x="21540" y="21492"/>
                <wp:lineTo x="21540" y="0"/>
                <wp:lineTo x="0" y="0"/>
              </wp:wrapPolygon>
            </wp:wrapTight>
            <wp:docPr id="6" name="Obrázek 6" descr="C:\Users\vaclavikova\AppData\Local\Microsoft\Windows\Temporary Internet Files\Content.Word\struktura-credenco-CZ_VZ-2016_v04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lavikova\AppData\Local\Microsoft\Windows\Temporary Internet Files\Content.Word\struktura-credenco-CZ_VZ-2016_v04_C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t="9414" r="7579" b="5395"/>
                    <a:stretch/>
                  </pic:blipFill>
                  <pic:spPr bwMode="auto">
                    <a:xfrm>
                      <a:off x="0" y="0"/>
                      <a:ext cx="4794885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5AC" w:rsidRPr="0078015E" w:rsidRDefault="00DD45AC" w:rsidP="00DD45AC">
      <w:pPr>
        <w:spacing w:after="120"/>
        <w:jc w:val="center"/>
        <w:rPr>
          <w:i w:val="0"/>
          <w:noProof/>
        </w:rPr>
      </w:pPr>
    </w:p>
    <w:p w:rsidR="00DD45AC" w:rsidRPr="0078015E" w:rsidRDefault="00DD45AC" w:rsidP="00DD45AC">
      <w:pPr>
        <w:spacing w:after="120"/>
        <w:jc w:val="center"/>
        <w:rPr>
          <w:i w:val="0"/>
          <w:noProof/>
        </w:rPr>
      </w:pPr>
    </w:p>
    <w:p w:rsidR="00195211" w:rsidRPr="0078015E" w:rsidRDefault="00195211">
      <w:pPr>
        <w:spacing w:line="276" w:lineRule="auto"/>
        <w:rPr>
          <w:rFonts w:ascii="Arial" w:hAnsi="Arial"/>
          <w:i w:val="0"/>
          <w:color w:val="702700"/>
          <w:sz w:val="30"/>
          <w:szCs w:val="30"/>
        </w:rPr>
      </w:pPr>
      <w:r w:rsidRPr="0078015E">
        <w:rPr>
          <w:i w:val="0"/>
          <w:color w:val="702700"/>
          <w:sz w:val="30"/>
          <w:szCs w:val="30"/>
        </w:rPr>
        <w:br w:type="page"/>
      </w: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lastRenderedPageBreak/>
        <w:t>Dozorčí rada:</w:t>
      </w:r>
    </w:p>
    <w:p w:rsidR="00195211" w:rsidRPr="0078015E" w:rsidRDefault="00195211" w:rsidP="00195211">
      <w:pPr>
        <w:pStyle w:val="Bodytext"/>
        <w:ind w:left="720"/>
        <w:contextualSpacing/>
        <w:rPr>
          <w:i w:val="0"/>
          <w:color w:val="702700"/>
          <w:sz w:val="30"/>
          <w:szCs w:val="30"/>
          <w:lang w:val="cs-CZ"/>
        </w:rPr>
      </w:pPr>
    </w:p>
    <w:p w:rsidR="00DD45AC" w:rsidRPr="0078015E" w:rsidRDefault="00DD45AC" w:rsidP="00195211">
      <w:pPr>
        <w:pStyle w:val="Numberedbulletlevel2"/>
        <w:numPr>
          <w:ilvl w:val="0"/>
          <w:numId w:val="0"/>
        </w:numPr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>7.1. Složení dozorčí rady k </w:t>
      </w:r>
      <w:r w:rsidR="00F84165">
        <w:rPr>
          <w:b/>
          <w:i w:val="0"/>
          <w:lang w:val="cs-CZ"/>
        </w:rPr>
        <w:t>31</w:t>
      </w:r>
      <w:r w:rsidRPr="0078015E">
        <w:rPr>
          <w:b/>
          <w:i w:val="0"/>
          <w:lang w:val="cs-CZ"/>
        </w:rPr>
        <w:t xml:space="preserve">. </w:t>
      </w:r>
      <w:r w:rsidR="00F84165">
        <w:rPr>
          <w:b/>
          <w:i w:val="0"/>
          <w:lang w:val="cs-CZ"/>
        </w:rPr>
        <w:t>12</w:t>
      </w:r>
      <w:r w:rsidRPr="0078015E">
        <w:rPr>
          <w:b/>
          <w:i w:val="0"/>
          <w:lang w:val="cs-CZ"/>
        </w:rPr>
        <w:t>. 201</w:t>
      </w:r>
      <w:r w:rsidR="00550BD1" w:rsidRPr="0078015E">
        <w:rPr>
          <w:b/>
          <w:i w:val="0"/>
          <w:lang w:val="cs-CZ"/>
        </w:rPr>
        <w:t>7</w:t>
      </w:r>
      <w:r w:rsidRPr="0078015E">
        <w:rPr>
          <w:b/>
          <w:i w:val="0"/>
          <w:lang w:val="cs-CZ"/>
        </w:rPr>
        <w:t>:</w:t>
      </w:r>
    </w:p>
    <w:p w:rsidR="00DD45AC" w:rsidRPr="0078015E" w:rsidRDefault="00DD45AC" w:rsidP="00DD45AC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="00E90454"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>Dirk Terweduwe</w:t>
      </w:r>
    </w:p>
    <w:p w:rsidR="00DD45AC" w:rsidRPr="0078015E" w:rsidRDefault="00E90454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="00DD45AC" w:rsidRPr="0078015E">
        <w:rPr>
          <w:rFonts w:ascii="Arial" w:hAnsi="Arial" w:cs="Arial"/>
          <w:i w:val="0"/>
        </w:rPr>
        <w:t>předseda dozorčí rady</w:t>
      </w:r>
      <w:r w:rsidR="00DD45AC" w:rsidRPr="0078015E">
        <w:rPr>
          <w:rFonts w:ascii="Arial" w:hAnsi="Arial" w:cs="Arial"/>
          <w:i w:val="0"/>
        </w:rPr>
        <w:tab/>
      </w:r>
      <w:r w:rsidR="00DD45AC" w:rsidRPr="0078015E">
        <w:rPr>
          <w:rFonts w:ascii="Arial" w:hAnsi="Arial" w:cs="Arial"/>
          <w:i w:val="0"/>
        </w:rPr>
        <w:tab/>
      </w:r>
      <w:r w:rsidR="00DD45AC" w:rsidRPr="0078015E">
        <w:rPr>
          <w:rFonts w:ascii="Arial" w:hAnsi="Arial" w:cs="Arial"/>
          <w:i w:val="0"/>
        </w:rPr>
        <w:tab/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Den </w:t>
      </w:r>
      <w:r w:rsidR="00163C33" w:rsidRPr="0078015E">
        <w:rPr>
          <w:rFonts w:ascii="Arial" w:hAnsi="Arial" w:cs="Arial"/>
          <w:i w:val="0"/>
        </w:rPr>
        <w:t>vzniku členství v dozorčí radě:</w:t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27. dubna 2015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Den vzniku funkce: </w:t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19. června 2015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Dosavadní zkušenosti a kvalifikační </w:t>
      </w:r>
      <w:r w:rsidRPr="0078015E">
        <w:rPr>
          <w:rFonts w:ascii="Arial" w:hAnsi="Arial" w:cs="Arial"/>
          <w:i w:val="0"/>
        </w:rPr>
        <w:tab/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předpoklady pro výkon funkce: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 xml:space="preserve">Generální ředitel </w:t>
      </w:r>
      <w:r w:rsidR="00E90454" w:rsidRPr="0078015E">
        <w:rPr>
          <w:rFonts w:ascii="Arial" w:hAnsi="Arial" w:cs="Arial"/>
          <w:i w:val="0"/>
        </w:rPr>
        <w:t>Credendo – Export Credit Agency</w:t>
      </w:r>
    </w:p>
    <w:p w:rsidR="00DD45AC" w:rsidRPr="0078015E" w:rsidRDefault="00DD45AC" w:rsidP="00E90454">
      <w:pPr>
        <w:spacing w:after="240" w:line="240" w:lineRule="auto"/>
        <w:ind w:left="4248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Člen výkonného vedení </w:t>
      </w:r>
      <w:r w:rsidR="00FA4E6A" w:rsidRPr="0078015E">
        <w:rPr>
          <w:rFonts w:ascii="Arial" w:hAnsi="Arial" w:cs="Arial"/>
          <w:i w:val="0"/>
        </w:rPr>
        <w:t xml:space="preserve">                                                       </w:t>
      </w:r>
      <w:r w:rsidR="00E90454" w:rsidRPr="0078015E">
        <w:rPr>
          <w:rFonts w:ascii="Arial" w:hAnsi="Arial" w:cs="Arial"/>
          <w:i w:val="0"/>
        </w:rPr>
        <w:t>Credendo – Short-Term non-EU Risks</w:t>
      </w:r>
    </w:p>
    <w:p w:rsidR="00E90454" w:rsidRPr="0078015E" w:rsidRDefault="00E90454" w:rsidP="00DD45AC">
      <w:pPr>
        <w:spacing w:after="60"/>
        <w:rPr>
          <w:rFonts w:ascii="Arial" w:hAnsi="Arial" w:cs="Arial"/>
          <w:i w:val="0"/>
          <w:color w:val="702700"/>
        </w:rPr>
      </w:pPr>
    </w:p>
    <w:p w:rsidR="00DD45AC" w:rsidRPr="0078015E" w:rsidRDefault="00DD45AC" w:rsidP="00DD45AC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="00E90454"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>Frank Vanwingh</w:t>
      </w:r>
    </w:p>
    <w:p w:rsidR="00DD45AC" w:rsidRPr="0078015E" w:rsidRDefault="00E90454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="00DD45AC" w:rsidRPr="0078015E">
        <w:rPr>
          <w:rFonts w:ascii="Arial" w:hAnsi="Arial" w:cs="Arial"/>
          <w:i w:val="0"/>
        </w:rPr>
        <w:t>člen dozorčí rady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vznik</w:t>
      </w:r>
      <w:r w:rsidR="00163C33" w:rsidRPr="0078015E">
        <w:rPr>
          <w:rFonts w:ascii="Arial" w:hAnsi="Arial" w:cs="Arial"/>
          <w:i w:val="0"/>
        </w:rPr>
        <w:t>u členství v dozorčí radě:</w:t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27. dubna 2015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Dosavadní zkušenosti a kvalifikační</w:t>
      </w:r>
    </w:p>
    <w:p w:rsidR="00DD45AC" w:rsidRPr="0078015E" w:rsidRDefault="00DD45AC" w:rsidP="00EF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spacing w:after="24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předpoklady pro výkon funkce: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 xml:space="preserve">Člen výkonného vedení </w:t>
      </w:r>
      <w:r w:rsidR="00E90454" w:rsidRPr="0078015E">
        <w:rPr>
          <w:rFonts w:ascii="Arial" w:hAnsi="Arial" w:cs="Arial"/>
          <w:i w:val="0"/>
        </w:rPr>
        <w:t>Credendo – Export Credit Agency</w:t>
      </w:r>
      <w:r w:rsidR="00EF40F7" w:rsidRPr="0078015E">
        <w:rPr>
          <w:rFonts w:ascii="Arial" w:hAnsi="Arial" w:cs="Arial"/>
          <w:i w:val="0"/>
        </w:rPr>
        <w:tab/>
      </w:r>
    </w:p>
    <w:p w:rsidR="00E90454" w:rsidRPr="0078015E" w:rsidRDefault="00E90454" w:rsidP="00DD45AC">
      <w:pPr>
        <w:spacing w:after="240" w:line="240" w:lineRule="auto"/>
        <w:rPr>
          <w:rFonts w:ascii="Arial" w:hAnsi="Arial" w:cs="Arial"/>
          <w:i w:val="0"/>
        </w:rPr>
      </w:pPr>
    </w:p>
    <w:p w:rsidR="00DD45AC" w:rsidRPr="0078015E" w:rsidRDefault="00DD45AC" w:rsidP="00DD45AC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  <w:t>Stefaan Van Boxstael</w:t>
      </w:r>
    </w:p>
    <w:p w:rsidR="00DD45AC" w:rsidRPr="0078015E" w:rsidRDefault="00E90454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="00DD45AC" w:rsidRPr="0078015E">
        <w:rPr>
          <w:rFonts w:ascii="Arial" w:hAnsi="Arial" w:cs="Arial"/>
          <w:i w:val="0"/>
        </w:rPr>
        <w:t>člen dozorčí rady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</w:t>
      </w:r>
      <w:r w:rsidR="00163C33" w:rsidRPr="0078015E">
        <w:rPr>
          <w:rFonts w:ascii="Arial" w:hAnsi="Arial" w:cs="Arial"/>
          <w:i w:val="0"/>
        </w:rPr>
        <w:t>ku členství v dozorčí radě:</w:t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17. prosince 2014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Dosavadní zkušenosti a kvalifikační</w:t>
      </w:r>
    </w:p>
    <w:p w:rsidR="00DD45AC" w:rsidRPr="0078015E" w:rsidRDefault="00DD45AC" w:rsidP="00FA4E6A">
      <w:pPr>
        <w:spacing w:after="0" w:line="240" w:lineRule="auto"/>
        <w:ind w:left="4245" w:hanging="4245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předpoklady pro výkon funkce: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 xml:space="preserve">Generální ředitel společnosti </w:t>
      </w:r>
      <w:r w:rsidR="00FA4E6A" w:rsidRPr="0078015E">
        <w:rPr>
          <w:rFonts w:ascii="Arial" w:hAnsi="Arial" w:cs="Arial"/>
          <w:i w:val="0"/>
        </w:rPr>
        <w:t xml:space="preserve">                                   </w:t>
      </w:r>
      <w:r w:rsidR="00E90454" w:rsidRPr="0078015E">
        <w:rPr>
          <w:rFonts w:ascii="Arial" w:hAnsi="Arial" w:cs="Arial"/>
          <w:i w:val="0"/>
        </w:rPr>
        <w:t>Credendo – Short-Term non-EU Risks</w:t>
      </w:r>
    </w:p>
    <w:p w:rsidR="00E90454" w:rsidRPr="0078015E" w:rsidRDefault="00E90454" w:rsidP="00DD45AC">
      <w:pPr>
        <w:spacing w:after="0" w:line="240" w:lineRule="auto"/>
        <w:rPr>
          <w:rFonts w:ascii="Arial" w:hAnsi="Arial" w:cs="Arial"/>
          <w:i w:val="0"/>
        </w:rPr>
      </w:pP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  <w:color w:val="595959"/>
        </w:rPr>
      </w:pPr>
    </w:p>
    <w:p w:rsidR="00E90454" w:rsidRPr="0078015E" w:rsidRDefault="00E90454" w:rsidP="00DD45AC">
      <w:pPr>
        <w:spacing w:after="0" w:line="240" w:lineRule="auto"/>
        <w:rPr>
          <w:rFonts w:ascii="Arial" w:hAnsi="Arial" w:cs="Arial"/>
          <w:i w:val="0"/>
          <w:color w:val="595959"/>
        </w:rPr>
      </w:pPr>
    </w:p>
    <w:p w:rsidR="00DD45AC" w:rsidRPr="0078015E" w:rsidRDefault="00E90454" w:rsidP="00DD45AC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="00DD45AC" w:rsidRPr="0078015E">
        <w:rPr>
          <w:rFonts w:ascii="Arial" w:hAnsi="Arial" w:cs="Arial"/>
          <w:i w:val="0"/>
          <w:color w:val="702700"/>
        </w:rPr>
        <w:t>Ronny Matton</w:t>
      </w:r>
    </w:p>
    <w:p w:rsidR="00DD45AC" w:rsidRPr="0078015E" w:rsidRDefault="00E90454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="00DD45AC" w:rsidRPr="0078015E">
        <w:rPr>
          <w:rFonts w:ascii="Arial" w:hAnsi="Arial" w:cs="Arial"/>
          <w:i w:val="0"/>
        </w:rPr>
        <w:t>člen dozorčí rady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</w:t>
      </w:r>
      <w:r w:rsidR="00163C33" w:rsidRPr="0078015E">
        <w:rPr>
          <w:rFonts w:ascii="Arial" w:hAnsi="Arial" w:cs="Arial"/>
          <w:i w:val="0"/>
        </w:rPr>
        <w:t>ku členství v dozorčí radě:</w:t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17. prosince 201</w:t>
      </w:r>
      <w:r w:rsidR="007C5962">
        <w:rPr>
          <w:rFonts w:ascii="Arial" w:hAnsi="Arial" w:cs="Arial"/>
          <w:i w:val="0"/>
        </w:rPr>
        <w:t>7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Dosavadní zkušenosti a kvalifikační</w:t>
      </w:r>
    </w:p>
    <w:p w:rsidR="00E90454" w:rsidRPr="0078015E" w:rsidRDefault="00DD45AC" w:rsidP="00E90454">
      <w:pPr>
        <w:spacing w:after="240" w:line="240" w:lineRule="auto"/>
        <w:ind w:left="4245" w:hanging="4245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p</w:t>
      </w:r>
      <w:r w:rsidR="00E90454" w:rsidRPr="0078015E">
        <w:rPr>
          <w:rFonts w:ascii="Arial" w:hAnsi="Arial" w:cs="Arial"/>
          <w:i w:val="0"/>
        </w:rPr>
        <w:t>ředpoklady pro výkon funkce:</w:t>
      </w:r>
      <w:r w:rsidR="00E90454" w:rsidRPr="0078015E">
        <w:rPr>
          <w:rFonts w:ascii="Arial" w:hAnsi="Arial" w:cs="Arial"/>
          <w:i w:val="0"/>
        </w:rPr>
        <w:tab/>
      </w:r>
      <w:r w:rsidR="00E90454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G</w:t>
      </w:r>
      <w:r w:rsidR="00FA4E6A" w:rsidRPr="0078015E">
        <w:rPr>
          <w:rFonts w:ascii="Arial" w:hAnsi="Arial" w:cs="Arial"/>
          <w:i w:val="0"/>
        </w:rPr>
        <w:t xml:space="preserve">roup Chief Financial Officer ve společnosti                          </w:t>
      </w:r>
      <w:r w:rsidR="00E90454" w:rsidRPr="0078015E">
        <w:rPr>
          <w:rFonts w:ascii="Arial" w:hAnsi="Arial" w:cs="Arial"/>
          <w:i w:val="0"/>
        </w:rPr>
        <w:t>Credendo – Export Credit Agency</w:t>
      </w:r>
    </w:p>
    <w:p w:rsidR="00DD45AC" w:rsidRPr="0078015E" w:rsidRDefault="00DD45AC" w:rsidP="00DD45AC">
      <w:pPr>
        <w:spacing w:after="0" w:line="240" w:lineRule="auto"/>
        <w:ind w:left="4950" w:hanging="4950"/>
        <w:rPr>
          <w:rFonts w:ascii="Arial" w:hAnsi="Arial" w:cs="Arial"/>
          <w:i w:val="0"/>
        </w:rPr>
      </w:pPr>
    </w:p>
    <w:p w:rsidR="00E90454" w:rsidRPr="0078015E" w:rsidRDefault="00E90454" w:rsidP="00DD45AC">
      <w:pPr>
        <w:spacing w:after="0" w:line="240" w:lineRule="auto"/>
        <w:ind w:left="4950" w:hanging="4950"/>
        <w:rPr>
          <w:rFonts w:ascii="Arial" w:hAnsi="Arial" w:cs="Arial"/>
          <w:i w:val="0"/>
        </w:rPr>
      </w:pPr>
    </w:p>
    <w:p w:rsidR="00DD45AC" w:rsidRPr="0078015E" w:rsidRDefault="00DD45AC" w:rsidP="00DD45AC">
      <w:pPr>
        <w:spacing w:after="0"/>
        <w:rPr>
          <w:rFonts w:ascii="Arial" w:hAnsi="Arial" w:cs="Arial"/>
          <w:i w:val="0"/>
        </w:rPr>
      </w:pPr>
    </w:p>
    <w:p w:rsidR="00DD45AC" w:rsidRPr="0078015E" w:rsidRDefault="00DD45AC" w:rsidP="00717651">
      <w:pPr>
        <w:pStyle w:val="Numberedbulletlevel2"/>
        <w:numPr>
          <w:ilvl w:val="0"/>
          <w:numId w:val="0"/>
        </w:numPr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>7.2 Změny v dozorčí radě v období</w:t>
      </w:r>
      <w:r w:rsidR="004E1BFE">
        <w:rPr>
          <w:b/>
          <w:i w:val="0"/>
          <w:lang w:val="cs-CZ"/>
        </w:rPr>
        <w:t xml:space="preserve"> </w:t>
      </w:r>
      <w:r w:rsidR="007E0630">
        <w:rPr>
          <w:b/>
          <w:i w:val="0"/>
          <w:lang w:val="cs-CZ"/>
        </w:rPr>
        <w:t xml:space="preserve">30. 9. 2017 </w:t>
      </w:r>
      <w:r w:rsidR="00B23755">
        <w:rPr>
          <w:b/>
          <w:i w:val="0"/>
          <w:lang w:val="cs-CZ"/>
        </w:rPr>
        <w:t xml:space="preserve">– </w:t>
      </w:r>
      <w:r w:rsidR="007E0630">
        <w:rPr>
          <w:b/>
          <w:i w:val="0"/>
          <w:lang w:val="cs-CZ"/>
        </w:rPr>
        <w:t>31</w:t>
      </w:r>
      <w:r w:rsidR="00B23755">
        <w:rPr>
          <w:b/>
          <w:i w:val="0"/>
          <w:lang w:val="cs-CZ"/>
        </w:rPr>
        <w:t xml:space="preserve">. </w:t>
      </w:r>
      <w:r w:rsidR="007E0630">
        <w:rPr>
          <w:b/>
          <w:i w:val="0"/>
          <w:lang w:val="cs-CZ"/>
        </w:rPr>
        <w:t>12</w:t>
      </w:r>
      <w:r w:rsidR="00B23755">
        <w:rPr>
          <w:b/>
          <w:i w:val="0"/>
          <w:lang w:val="cs-CZ"/>
        </w:rPr>
        <w:t>. 2017</w:t>
      </w:r>
      <w:r w:rsidRPr="0078015E">
        <w:rPr>
          <w:b/>
          <w:i w:val="0"/>
          <w:lang w:val="cs-CZ"/>
        </w:rPr>
        <w:t>:</w:t>
      </w:r>
    </w:p>
    <w:p w:rsidR="00FE7199" w:rsidRPr="0078015E" w:rsidRDefault="00FE7199" w:rsidP="00DD45AC">
      <w:pPr>
        <w:spacing w:after="0" w:line="240" w:lineRule="auto"/>
        <w:rPr>
          <w:rFonts w:ascii="Arial" w:hAnsi="Arial" w:cs="Arial"/>
          <w:i w:val="0"/>
        </w:rPr>
      </w:pPr>
    </w:p>
    <w:p w:rsidR="00E90454" w:rsidRPr="0078015E" w:rsidRDefault="00550BD1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Žádné.</w:t>
      </w:r>
    </w:p>
    <w:p w:rsidR="00E90454" w:rsidRPr="0078015E" w:rsidRDefault="00E90454">
      <w:pPr>
        <w:spacing w:line="276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br w:type="page"/>
      </w:r>
    </w:p>
    <w:p w:rsidR="00DD45AC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lastRenderedPageBreak/>
        <w:t>Představenstvo:</w:t>
      </w:r>
    </w:p>
    <w:p w:rsidR="00857562" w:rsidRPr="0078015E" w:rsidRDefault="00857562" w:rsidP="00857562">
      <w:pPr>
        <w:pStyle w:val="Bodytext"/>
        <w:ind w:left="720"/>
        <w:contextualSpacing/>
        <w:rPr>
          <w:i w:val="0"/>
          <w:color w:val="702700"/>
          <w:sz w:val="30"/>
          <w:szCs w:val="30"/>
          <w:lang w:val="cs-CZ"/>
        </w:rPr>
      </w:pPr>
    </w:p>
    <w:p w:rsidR="00DD45AC" w:rsidRPr="0078015E" w:rsidRDefault="00DD45AC" w:rsidP="00717651">
      <w:pPr>
        <w:pStyle w:val="Numberedbulletlevel2"/>
        <w:numPr>
          <w:ilvl w:val="0"/>
          <w:numId w:val="0"/>
        </w:numPr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>8.1. Složení představenstva k 3</w:t>
      </w:r>
      <w:r w:rsidR="007E0630">
        <w:rPr>
          <w:b/>
          <w:i w:val="0"/>
          <w:lang w:val="cs-CZ"/>
        </w:rPr>
        <w:t>1.12</w:t>
      </w:r>
      <w:r w:rsidR="00550BD1" w:rsidRPr="0078015E">
        <w:rPr>
          <w:b/>
          <w:i w:val="0"/>
          <w:lang w:val="cs-CZ"/>
        </w:rPr>
        <w:t>. 2017</w:t>
      </w:r>
      <w:r w:rsidRPr="0078015E">
        <w:rPr>
          <w:b/>
          <w:i w:val="0"/>
          <w:lang w:val="cs-CZ"/>
        </w:rPr>
        <w:t>:</w:t>
      </w:r>
    </w:p>
    <w:p w:rsidR="00F46D4F" w:rsidRPr="0078015E" w:rsidRDefault="00F46D4F" w:rsidP="00F46D4F">
      <w:pPr>
        <w:pStyle w:val="Bulletlevel1"/>
        <w:numPr>
          <w:ilvl w:val="0"/>
          <w:numId w:val="0"/>
        </w:numPr>
        <w:ind w:left="284"/>
        <w:rPr>
          <w:lang w:val="cs-CZ"/>
        </w:rPr>
      </w:pPr>
    </w:p>
    <w:p w:rsidR="00DD45AC" w:rsidRPr="0078015E" w:rsidRDefault="00DD45AC" w:rsidP="00F46D4F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  <w:t>Ing. Michal Veselý</w:t>
      </w:r>
    </w:p>
    <w:p w:rsidR="00DD45AC" w:rsidRPr="0078015E" w:rsidRDefault="00DD45AC" w:rsidP="00DD45AC">
      <w:pPr>
        <w:spacing w:after="0" w:line="240" w:lineRule="auto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Předseda představenstva a generální ředitel spol.</w:t>
      </w:r>
    </w:p>
    <w:p w:rsidR="00DD45AC" w:rsidRPr="0078015E" w:rsidRDefault="00DD45AC" w:rsidP="00DD45AC">
      <w:pPr>
        <w:spacing w:after="0" w:line="240" w:lineRule="auto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vzniku funkce: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1</w:t>
      </w:r>
      <w:r w:rsidR="004B3EF4" w:rsidRPr="0078015E">
        <w:rPr>
          <w:rFonts w:ascii="Arial" w:hAnsi="Arial" w:cs="Arial"/>
          <w:i w:val="0"/>
        </w:rPr>
        <w:t>4</w:t>
      </w:r>
      <w:r w:rsidRPr="0078015E">
        <w:rPr>
          <w:rFonts w:ascii="Arial" w:hAnsi="Arial" w:cs="Arial"/>
          <w:i w:val="0"/>
        </w:rPr>
        <w:t>. října 201</w:t>
      </w:r>
      <w:r w:rsidR="004B3EF4" w:rsidRPr="0078015E">
        <w:rPr>
          <w:rFonts w:ascii="Arial" w:hAnsi="Arial" w:cs="Arial"/>
          <w:i w:val="0"/>
        </w:rPr>
        <w:t>6</w:t>
      </w:r>
    </w:p>
    <w:p w:rsidR="00DD45AC" w:rsidRPr="0078015E" w:rsidRDefault="00DD45AC" w:rsidP="00DD45AC">
      <w:pPr>
        <w:spacing w:after="0" w:line="240" w:lineRule="auto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vzniku členství v představenstvu: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14. října 201</w:t>
      </w:r>
      <w:r w:rsidR="004B3EF4" w:rsidRPr="0078015E">
        <w:rPr>
          <w:rFonts w:ascii="Arial" w:hAnsi="Arial" w:cs="Arial"/>
          <w:i w:val="0"/>
        </w:rPr>
        <w:t>6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Dosavadní zkušenosti a kvalifikační </w:t>
      </w:r>
      <w:r w:rsidRPr="0078015E">
        <w:rPr>
          <w:rFonts w:ascii="Arial" w:hAnsi="Arial" w:cs="Arial"/>
          <w:i w:val="0"/>
        </w:rPr>
        <w:tab/>
      </w:r>
    </w:p>
    <w:p w:rsidR="00DD45AC" w:rsidRPr="0078015E" w:rsidRDefault="00DD45AC" w:rsidP="00DD45AC">
      <w:pPr>
        <w:spacing w:after="240" w:line="240" w:lineRule="auto"/>
        <w:ind w:left="4950" w:hanging="4950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předpoklady pro výkon funkce: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Absolvoval Vysokou školu ekonomickou v Praze a studium na INSEAD ve Fontainebleau. Finanční ředitel Euler Hermes Čescob, úvěrová pojišťovna a.s.</w:t>
      </w:r>
    </w:p>
    <w:p w:rsidR="00F46D4F" w:rsidRPr="0078015E" w:rsidRDefault="00F46D4F" w:rsidP="00DD45AC">
      <w:pPr>
        <w:spacing w:after="240" w:line="240" w:lineRule="auto"/>
        <w:ind w:left="4950" w:hanging="4950"/>
        <w:jc w:val="both"/>
        <w:rPr>
          <w:rFonts w:ascii="Arial" w:hAnsi="Arial" w:cs="Arial"/>
          <w:i w:val="0"/>
        </w:rPr>
      </w:pPr>
    </w:p>
    <w:p w:rsidR="00DD45AC" w:rsidRPr="0078015E" w:rsidRDefault="00DD45AC" w:rsidP="00F46D4F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  <w:t>Ing. Martin Hrnčiřík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člen představenstva</w:t>
      </w:r>
    </w:p>
    <w:p w:rsidR="00DD45AC" w:rsidRPr="0078015E" w:rsidRDefault="00DD45AC" w:rsidP="00F46D4F">
      <w:pPr>
        <w:spacing w:after="0" w:line="240" w:lineRule="auto"/>
        <w:ind w:right="283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vzniku členství v představenstvu:</w:t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15. září 201</w:t>
      </w:r>
      <w:r w:rsidR="00685779">
        <w:rPr>
          <w:rFonts w:ascii="Arial" w:hAnsi="Arial" w:cs="Arial"/>
          <w:i w:val="0"/>
        </w:rPr>
        <w:t>7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Dosavadní zkušenosti a kvalifikační </w:t>
      </w:r>
      <w:r w:rsidRPr="0078015E">
        <w:rPr>
          <w:rFonts w:ascii="Arial" w:hAnsi="Arial" w:cs="Arial"/>
          <w:i w:val="0"/>
        </w:rPr>
        <w:tab/>
      </w:r>
    </w:p>
    <w:p w:rsidR="00DD45AC" w:rsidRPr="0078015E" w:rsidRDefault="00DD45AC" w:rsidP="00DD45AC">
      <w:pPr>
        <w:spacing w:after="240" w:line="240" w:lineRule="auto"/>
        <w:ind w:left="4950" w:hanging="4950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předpoklady pro výkon funkce: </w:t>
      </w:r>
      <w:r w:rsidRPr="0078015E">
        <w:rPr>
          <w:rFonts w:ascii="Arial" w:hAnsi="Arial" w:cs="Arial"/>
          <w:i w:val="0"/>
        </w:rPr>
        <w:tab/>
        <w:t>Absolvoval Vysokou školu ekonomickou v Praze. Působil jako finanční ředitel pro střední a východní Evropu ve společnosti Electronic Arts a řídil finanční úsek a penzijní fond v pojišťovně Allianz.</w:t>
      </w:r>
    </w:p>
    <w:p w:rsidR="00DD45AC" w:rsidRPr="0078015E" w:rsidRDefault="00DD45AC" w:rsidP="00DD45AC">
      <w:pPr>
        <w:spacing w:after="240" w:line="240" w:lineRule="auto"/>
        <w:ind w:left="4950" w:hanging="4950"/>
        <w:jc w:val="both"/>
        <w:rPr>
          <w:rFonts w:ascii="Arial" w:hAnsi="Arial" w:cs="Arial"/>
          <w:i w:val="0"/>
          <w:color w:val="595959"/>
        </w:rPr>
      </w:pPr>
    </w:p>
    <w:p w:rsidR="00DD45AC" w:rsidRPr="0078015E" w:rsidRDefault="00DD45AC" w:rsidP="00F46D4F">
      <w:pPr>
        <w:spacing w:after="60"/>
        <w:rPr>
          <w:rFonts w:ascii="Arial" w:hAnsi="Arial" w:cs="Arial"/>
          <w:i w:val="0"/>
          <w:color w:val="702700"/>
        </w:rPr>
      </w:pPr>
      <w:r w:rsidRPr="0078015E">
        <w:rPr>
          <w:rFonts w:ascii="Arial" w:hAnsi="Arial" w:cs="Arial"/>
          <w:i w:val="0"/>
          <w:color w:val="702700"/>
        </w:rPr>
        <w:t>Jméno:</w:t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</w:r>
      <w:r w:rsidRPr="0078015E">
        <w:rPr>
          <w:rFonts w:ascii="Arial" w:hAnsi="Arial" w:cs="Arial"/>
          <w:i w:val="0"/>
          <w:color w:val="702700"/>
        </w:rPr>
        <w:tab/>
        <w:t>Ing. Jan Kovačič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ab/>
        <w:t>člen představenstva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Den vznik</w:t>
      </w:r>
      <w:r w:rsidR="006E3931" w:rsidRPr="0078015E">
        <w:rPr>
          <w:rFonts w:ascii="Arial" w:hAnsi="Arial" w:cs="Arial"/>
          <w:i w:val="0"/>
        </w:rPr>
        <w:t>u členství v představenstvu:</w:t>
      </w:r>
      <w:r w:rsidR="006E3931" w:rsidRPr="0078015E">
        <w:rPr>
          <w:rFonts w:ascii="Arial" w:hAnsi="Arial" w:cs="Arial"/>
          <w:i w:val="0"/>
        </w:rPr>
        <w:tab/>
      </w:r>
      <w:r w:rsidR="006E3931" w:rsidRPr="0078015E">
        <w:rPr>
          <w:rFonts w:ascii="Arial" w:hAnsi="Arial" w:cs="Arial"/>
          <w:i w:val="0"/>
        </w:rPr>
        <w:tab/>
      </w:r>
      <w:r w:rsidR="006E3931" w:rsidRPr="0078015E">
        <w:rPr>
          <w:rFonts w:ascii="Arial" w:hAnsi="Arial" w:cs="Arial"/>
          <w:i w:val="0"/>
        </w:rPr>
        <w:tab/>
      </w:r>
      <w:r w:rsidRPr="0078015E">
        <w:rPr>
          <w:rFonts w:ascii="Arial" w:hAnsi="Arial" w:cs="Arial"/>
          <w:i w:val="0"/>
        </w:rPr>
        <w:t>10. května 2016</w:t>
      </w: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Dosavadní zkušenosti a kvalifikační </w:t>
      </w:r>
      <w:r w:rsidRPr="0078015E">
        <w:rPr>
          <w:rFonts w:ascii="Arial" w:hAnsi="Arial" w:cs="Arial"/>
          <w:i w:val="0"/>
        </w:rPr>
        <w:tab/>
      </w:r>
    </w:p>
    <w:p w:rsidR="00DD45AC" w:rsidRPr="0078015E" w:rsidRDefault="00DD45AC" w:rsidP="00DD45AC">
      <w:pPr>
        <w:spacing w:after="240" w:line="240" w:lineRule="auto"/>
        <w:ind w:left="4950" w:hanging="4950"/>
        <w:jc w:val="both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 xml:space="preserve">předpoklady pro výkon funkce: </w:t>
      </w:r>
      <w:r w:rsidRPr="0078015E">
        <w:rPr>
          <w:rFonts w:ascii="Arial" w:hAnsi="Arial" w:cs="Arial"/>
          <w:i w:val="0"/>
        </w:rPr>
        <w:tab/>
        <w:t>Absolvoval Vysokou školu ekonomickou v Praze a je držitelem magisterského titulu z francouzského FORCOMEX v Roubaix. Působil v portfolio managementu ČSOB a na pozicích spojených s řízením úvěrových rizik v ING Bank, Raiffeisenbank a Sberbank.</w:t>
      </w:r>
    </w:p>
    <w:p w:rsidR="00C770E2" w:rsidRPr="0078015E" w:rsidRDefault="00C770E2" w:rsidP="00DD45AC">
      <w:pPr>
        <w:spacing w:after="240" w:line="240" w:lineRule="auto"/>
        <w:ind w:left="4950" w:hanging="4950"/>
        <w:jc w:val="both"/>
        <w:rPr>
          <w:rFonts w:ascii="Arial" w:hAnsi="Arial" w:cs="Arial"/>
          <w:i w:val="0"/>
        </w:rPr>
      </w:pPr>
    </w:p>
    <w:p w:rsidR="00DD45AC" w:rsidRDefault="00DD45AC" w:rsidP="00717651">
      <w:pPr>
        <w:pStyle w:val="Numberedbulletlevel2"/>
        <w:numPr>
          <w:ilvl w:val="0"/>
          <w:numId w:val="0"/>
        </w:numPr>
        <w:rPr>
          <w:b/>
          <w:i w:val="0"/>
          <w:lang w:val="cs-CZ"/>
        </w:rPr>
      </w:pPr>
      <w:r w:rsidRPr="0078015E">
        <w:rPr>
          <w:b/>
          <w:i w:val="0"/>
          <w:lang w:val="cs-CZ"/>
        </w:rPr>
        <w:t xml:space="preserve">8.2 Změny v představenstvu v období </w:t>
      </w:r>
      <w:r w:rsidR="00B23755">
        <w:rPr>
          <w:b/>
          <w:i w:val="0"/>
          <w:lang w:val="cs-CZ"/>
        </w:rPr>
        <w:t>30. 9. 2017</w:t>
      </w:r>
      <w:r w:rsidR="007E0630">
        <w:rPr>
          <w:b/>
          <w:i w:val="0"/>
          <w:lang w:val="cs-CZ"/>
        </w:rPr>
        <w:t xml:space="preserve"> - </w:t>
      </w:r>
      <w:r w:rsidR="007E0630" w:rsidRPr="0078015E">
        <w:rPr>
          <w:b/>
          <w:i w:val="0"/>
          <w:lang w:val="cs-CZ"/>
        </w:rPr>
        <w:t>3</w:t>
      </w:r>
      <w:r w:rsidR="007E0630">
        <w:rPr>
          <w:b/>
          <w:i w:val="0"/>
          <w:lang w:val="cs-CZ"/>
        </w:rPr>
        <w:t>1.12</w:t>
      </w:r>
      <w:r w:rsidR="007E0630" w:rsidRPr="0078015E">
        <w:rPr>
          <w:b/>
          <w:i w:val="0"/>
          <w:lang w:val="cs-CZ"/>
        </w:rPr>
        <w:t>. 2017</w:t>
      </w:r>
      <w:r w:rsidRPr="0078015E">
        <w:rPr>
          <w:b/>
          <w:i w:val="0"/>
          <w:lang w:val="cs-CZ"/>
        </w:rPr>
        <w:t>:</w:t>
      </w:r>
    </w:p>
    <w:p w:rsidR="00F151D4" w:rsidRPr="00F151D4" w:rsidRDefault="00F151D4" w:rsidP="00F151D4">
      <w:pPr>
        <w:pStyle w:val="Bulletlevel1"/>
        <w:numPr>
          <w:ilvl w:val="0"/>
          <w:numId w:val="0"/>
        </w:numPr>
        <w:ind w:left="284"/>
        <w:rPr>
          <w:lang w:val="cs-CZ"/>
        </w:rPr>
      </w:pPr>
    </w:p>
    <w:p w:rsidR="00DD45AC" w:rsidRPr="0078015E" w:rsidRDefault="00DD45AC" w:rsidP="00DD45AC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Žádné.</w:t>
      </w:r>
    </w:p>
    <w:p w:rsidR="00DD45AC" w:rsidRPr="0078015E" w:rsidRDefault="00DD45AC" w:rsidP="00DD45AC">
      <w:pPr>
        <w:spacing w:after="0" w:line="240" w:lineRule="auto"/>
        <w:rPr>
          <w:rFonts w:ascii="Myriad Pro" w:hAnsi="Myriad Pro"/>
          <w:i w:val="0"/>
          <w:color w:val="595959"/>
          <w:sz w:val="18"/>
          <w:szCs w:val="18"/>
        </w:rPr>
      </w:pPr>
    </w:p>
    <w:p w:rsidR="00DD45AC" w:rsidRPr="0078015E" w:rsidRDefault="00DD45AC" w:rsidP="00DD45AC">
      <w:pPr>
        <w:spacing w:after="0" w:line="240" w:lineRule="auto"/>
        <w:rPr>
          <w:rFonts w:ascii="Myriad Pro" w:hAnsi="Myriad Pro"/>
          <w:i w:val="0"/>
          <w:color w:val="00628E"/>
        </w:rPr>
      </w:pPr>
    </w:p>
    <w:p w:rsidR="00DD45AC" w:rsidRPr="0078015E" w:rsidRDefault="00DD45AC" w:rsidP="00FE7199">
      <w:pPr>
        <w:pStyle w:val="Bodytext"/>
        <w:numPr>
          <w:ilvl w:val="0"/>
          <w:numId w:val="5"/>
        </w:numPr>
        <w:contextualSpacing/>
        <w:rPr>
          <w:i w:val="0"/>
          <w:color w:val="702700"/>
          <w:sz w:val="30"/>
          <w:szCs w:val="30"/>
          <w:lang w:val="cs-CZ"/>
        </w:rPr>
      </w:pPr>
      <w:r w:rsidRPr="0078015E">
        <w:rPr>
          <w:i w:val="0"/>
          <w:color w:val="702700"/>
          <w:sz w:val="30"/>
          <w:szCs w:val="30"/>
          <w:lang w:val="cs-CZ"/>
        </w:rPr>
        <w:t>Úvěry, půjčky a záruky poskytnuté členům statutárních orgánů:</w:t>
      </w:r>
    </w:p>
    <w:p w:rsidR="00717651" w:rsidRPr="0078015E" w:rsidRDefault="00717651" w:rsidP="00717651">
      <w:pPr>
        <w:spacing w:after="0" w:line="240" w:lineRule="auto"/>
        <w:rPr>
          <w:rFonts w:ascii="Arial" w:hAnsi="Arial" w:cs="Arial"/>
          <w:i w:val="0"/>
        </w:rPr>
      </w:pPr>
    </w:p>
    <w:p w:rsidR="00DD45AC" w:rsidRPr="0078015E" w:rsidRDefault="00DD45AC" w:rsidP="00717651">
      <w:pPr>
        <w:spacing w:after="0" w:line="240" w:lineRule="auto"/>
        <w:rPr>
          <w:rFonts w:ascii="Arial" w:hAnsi="Arial" w:cs="Arial"/>
          <w:i w:val="0"/>
        </w:rPr>
      </w:pPr>
      <w:r w:rsidRPr="0078015E">
        <w:rPr>
          <w:rFonts w:ascii="Arial" w:hAnsi="Arial" w:cs="Arial"/>
          <w:i w:val="0"/>
        </w:rPr>
        <w:t>Žádnému z členů představenstva ani dozorčí rady nebyly společností poskytnuty úvěry či půjčky. Pojišťovna za žádného z členů představenstva ani dozorčí rady nevydala žádnou záruku.</w:t>
      </w:r>
    </w:p>
    <w:p w:rsidR="00DD45AC" w:rsidRPr="0078015E" w:rsidRDefault="00DD45AC" w:rsidP="00DD45AC">
      <w:pPr>
        <w:spacing w:after="0"/>
        <w:rPr>
          <w:rFonts w:ascii="Myriad Pro" w:hAnsi="Myriad Pro"/>
          <w:i w:val="0"/>
          <w:color w:val="00628E"/>
        </w:rPr>
      </w:pPr>
    </w:p>
    <w:p w:rsidR="003C6033" w:rsidRPr="0078015E" w:rsidRDefault="003C6033"/>
    <w:sectPr w:rsidR="003C6033" w:rsidRPr="0078015E" w:rsidSect="00F46D4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410" w:right="849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FB" w:rsidRDefault="00E15AFB" w:rsidP="00434652">
      <w:pPr>
        <w:spacing w:after="0" w:line="240" w:lineRule="auto"/>
      </w:pPr>
      <w:r>
        <w:separator/>
      </w:r>
    </w:p>
  </w:endnote>
  <w:endnote w:type="continuationSeparator" w:id="0">
    <w:p w:rsidR="00E15AFB" w:rsidRDefault="00E15AFB" w:rsidP="0043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FB" w:rsidRPr="00452C1F" w:rsidRDefault="00E15AFB" w:rsidP="00B825BB">
    <w:pPr>
      <w:pStyle w:val="Footer"/>
      <w:rPr>
        <w:rFonts w:ascii="Arial" w:hAnsi="Arial" w:cs="Arial"/>
        <w:i w:val="0"/>
        <w:color w:val="702700"/>
        <w:sz w:val="18"/>
        <w:szCs w:val="18"/>
      </w:rPr>
    </w:pPr>
    <w:r>
      <w:rPr>
        <w:rFonts w:ascii="Arial" w:hAnsi="Arial" w:cs="Arial"/>
        <w:i w:val="0"/>
        <w:color w:val="702700"/>
        <w:sz w:val="18"/>
        <w:szCs w:val="18"/>
      </w:rPr>
      <w:t>Informace o společnosti:</w:t>
    </w:r>
    <w:r>
      <w:rPr>
        <w:rFonts w:ascii="Arial" w:hAnsi="Arial" w:cs="Arial"/>
        <w:i w:val="0"/>
        <w:color w:val="702700"/>
        <w:sz w:val="18"/>
        <w:szCs w:val="18"/>
      </w:rPr>
      <w:tab/>
    </w:r>
    <w:r w:rsidRPr="00452C1F">
      <w:rPr>
        <w:rFonts w:ascii="Arial" w:hAnsi="Arial" w:cs="Arial"/>
        <w:i w:val="0"/>
        <w:color w:val="702700"/>
        <w:sz w:val="18"/>
        <w:szCs w:val="18"/>
      </w:rPr>
      <w:t>Credendo – Short-Term EU Risks úvěrová pojišťovna, a.s.</w:t>
    </w:r>
  </w:p>
  <w:p w:rsidR="00E15AFB" w:rsidRPr="00452C1F" w:rsidRDefault="00E15AFB" w:rsidP="00B825BB">
    <w:pPr>
      <w:pStyle w:val="Footer"/>
      <w:rPr>
        <w:rFonts w:ascii="Arial" w:hAnsi="Arial" w:cs="Arial"/>
        <w:i w:val="0"/>
        <w:color w:val="702700"/>
        <w:sz w:val="16"/>
        <w:szCs w:val="16"/>
      </w:rPr>
    </w:pPr>
    <w:r>
      <w:rPr>
        <w:rFonts w:ascii="Arial" w:hAnsi="Arial" w:cs="Arial"/>
        <w:i w:val="0"/>
        <w:color w:val="702700"/>
        <w:sz w:val="18"/>
        <w:szCs w:val="18"/>
      </w:rPr>
      <w:t>K datu:                                 31</w:t>
    </w:r>
    <w:r w:rsidRPr="00452C1F">
      <w:rPr>
        <w:rFonts w:ascii="Arial" w:hAnsi="Arial" w:cs="Arial"/>
        <w:i w:val="0"/>
        <w:color w:val="702700"/>
        <w:sz w:val="18"/>
        <w:szCs w:val="18"/>
      </w:rPr>
      <w:t xml:space="preserve">. </w:t>
    </w:r>
    <w:r>
      <w:rPr>
        <w:rFonts w:ascii="Arial" w:hAnsi="Arial" w:cs="Arial"/>
        <w:i w:val="0"/>
        <w:color w:val="702700"/>
        <w:sz w:val="18"/>
        <w:szCs w:val="18"/>
      </w:rPr>
      <w:t>prosince</w:t>
    </w:r>
    <w:r w:rsidRPr="00452C1F">
      <w:rPr>
        <w:rFonts w:ascii="Arial" w:hAnsi="Arial" w:cs="Arial"/>
        <w:i w:val="0"/>
        <w:color w:val="702700"/>
        <w:sz w:val="18"/>
        <w:szCs w:val="18"/>
      </w:rPr>
      <w:t xml:space="preserve"> 201</w:t>
    </w:r>
    <w:r>
      <w:rPr>
        <w:rFonts w:ascii="Arial" w:hAnsi="Arial" w:cs="Arial"/>
        <w:i w:val="0"/>
        <w:color w:val="702700"/>
        <w:sz w:val="18"/>
        <w:szCs w:val="18"/>
      </w:rPr>
      <w:t>7</w:t>
    </w:r>
    <w:r w:rsidRPr="00452C1F">
      <w:rPr>
        <w:rFonts w:ascii="Arial" w:hAnsi="Arial" w:cs="Arial"/>
        <w:b/>
        <w:i w:val="0"/>
        <w:color w:val="702700"/>
        <w:sz w:val="18"/>
        <w:szCs w:val="18"/>
      </w:rPr>
      <w:tab/>
    </w:r>
    <w:r w:rsidRPr="00452C1F">
      <w:rPr>
        <w:rFonts w:ascii="Arial" w:hAnsi="Arial" w:cs="Arial"/>
        <w:b/>
        <w:i w:val="0"/>
        <w:color w:val="702700"/>
        <w:sz w:val="18"/>
        <w:szCs w:val="18"/>
      </w:rPr>
      <w:tab/>
    </w:r>
    <w:r w:rsidRPr="00452C1F">
      <w:rPr>
        <w:rFonts w:ascii="Arial" w:hAnsi="Arial" w:cs="Arial"/>
        <w:i w:val="0"/>
        <w:color w:val="702700"/>
        <w:sz w:val="16"/>
        <w:szCs w:val="16"/>
      </w:rPr>
      <w:t xml:space="preserve">Strana </w:t>
    </w:r>
    <w:r w:rsidRPr="00452C1F">
      <w:rPr>
        <w:rFonts w:ascii="Arial" w:hAnsi="Arial" w:cs="Arial"/>
        <w:i w:val="0"/>
        <w:color w:val="702700"/>
        <w:sz w:val="16"/>
        <w:szCs w:val="16"/>
      </w:rPr>
      <w:fldChar w:fldCharType="begin"/>
    </w:r>
    <w:r w:rsidRPr="00452C1F">
      <w:rPr>
        <w:rFonts w:ascii="Arial" w:hAnsi="Arial" w:cs="Arial"/>
        <w:i w:val="0"/>
        <w:color w:val="702700"/>
        <w:sz w:val="16"/>
        <w:szCs w:val="16"/>
      </w:rPr>
      <w:instrText xml:space="preserve"> PAGE </w:instrText>
    </w:r>
    <w:r w:rsidRPr="00452C1F">
      <w:rPr>
        <w:rFonts w:ascii="Arial" w:hAnsi="Arial" w:cs="Arial"/>
        <w:i w:val="0"/>
        <w:color w:val="702700"/>
        <w:sz w:val="16"/>
        <w:szCs w:val="16"/>
      </w:rPr>
      <w:fldChar w:fldCharType="separate"/>
    </w:r>
    <w:r w:rsidR="0030589B">
      <w:rPr>
        <w:rFonts w:ascii="Arial" w:hAnsi="Arial" w:cs="Arial"/>
        <w:i w:val="0"/>
        <w:noProof/>
        <w:color w:val="702700"/>
        <w:sz w:val="16"/>
        <w:szCs w:val="16"/>
      </w:rPr>
      <w:t>9</w:t>
    </w:r>
    <w:r w:rsidRPr="00452C1F">
      <w:rPr>
        <w:rFonts w:ascii="Arial" w:hAnsi="Arial" w:cs="Arial"/>
        <w:i w:val="0"/>
        <w:color w:val="7027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FB" w:rsidRDefault="00E15AFB" w:rsidP="00434652">
      <w:pPr>
        <w:spacing w:after="0" w:line="240" w:lineRule="auto"/>
      </w:pPr>
      <w:r>
        <w:separator/>
      </w:r>
    </w:p>
  </w:footnote>
  <w:footnote w:type="continuationSeparator" w:id="0">
    <w:p w:rsidR="00E15AFB" w:rsidRDefault="00E15AFB" w:rsidP="00434652">
      <w:pPr>
        <w:spacing w:after="0" w:line="240" w:lineRule="auto"/>
      </w:pPr>
      <w:r>
        <w:continuationSeparator/>
      </w:r>
    </w:p>
  </w:footnote>
  <w:footnote w:id="1">
    <w:p w:rsidR="00E15AFB" w:rsidRPr="002A6BB9" w:rsidRDefault="00E15AFB">
      <w:pPr>
        <w:pStyle w:val="FootnoteText"/>
        <w:rPr>
          <w:rFonts w:ascii="Arial" w:hAnsi="Arial" w:cs="Arial"/>
          <w:sz w:val="16"/>
          <w:szCs w:val="16"/>
        </w:rPr>
      </w:pPr>
      <w:r w:rsidRPr="002A6BB9">
        <w:rPr>
          <w:rStyle w:val="FootnoteReference"/>
          <w:rFonts w:ascii="Arial" w:hAnsi="Arial" w:cs="Arial"/>
          <w:sz w:val="16"/>
          <w:szCs w:val="16"/>
        </w:rPr>
        <w:footnoteRef/>
      </w:r>
      <w:r w:rsidRPr="002A6BB9">
        <w:rPr>
          <w:rFonts w:ascii="Arial" w:hAnsi="Arial" w:cs="Arial"/>
          <w:sz w:val="16"/>
          <w:szCs w:val="16"/>
        </w:rPr>
        <w:t xml:space="preserve"> Předchozí oficiální jméno „Nationale Delcrederedienst | Office National du Ducroire“ bylo zákonem ze dne 18. dubna 2017, který obsahuje různá ustanovení týkající se hospodářství (</w:t>
      </w:r>
      <w:r w:rsidRPr="002A6BB9">
        <w:rPr>
          <w:rFonts w:ascii="Arial" w:hAnsi="Arial" w:cs="Arial"/>
          <w:i/>
          <w:sz w:val="16"/>
          <w:szCs w:val="16"/>
        </w:rPr>
        <w:t>B. S./M.B</w:t>
      </w:r>
      <w:r w:rsidRPr="002A6BB9">
        <w:rPr>
          <w:rFonts w:ascii="Arial" w:hAnsi="Arial" w:cs="Arial"/>
          <w:sz w:val="16"/>
          <w:szCs w:val="16"/>
        </w:rPr>
        <w:t>., 24 duben 2017 (účinný od 4. května 2017), změněno na „Delcredere | Ducroire“. Credendo je obchodní jméno skupiny a Credendo – Export Credit Agency je obchodní značka společnosti „Delcredere | Ducroire“. V budoucnu se budou používat převážně tyto obchodní značky.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FB" w:rsidRDefault="003058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964258" o:spid="_x0000_s2049" type="#_x0000_t75" style="position:absolute;margin-left:0;margin-top:0;width:595.2pt;height:842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FB" w:rsidRDefault="00E15A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2BFAFA6" wp14:editId="4EC2481F">
          <wp:simplePos x="0" y="0"/>
          <wp:positionH relativeFrom="column">
            <wp:posOffset>3926650</wp:posOffset>
          </wp:positionH>
          <wp:positionV relativeFrom="paragraph">
            <wp:posOffset>73025</wp:posOffset>
          </wp:positionV>
          <wp:extent cx="1935480" cy="522605"/>
          <wp:effectExtent l="0" t="0" r="7620" b="0"/>
          <wp:wrapNone/>
          <wp:docPr id="8" name="Obrázek 8" descr="Popis: LetterheadPre-Printed_SK-SK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LetterheadPre-Printed_SK-SK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01" t="-1476" b="96144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FB" w:rsidRDefault="00E15A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E55BEC8" wp14:editId="0A84B941">
          <wp:simplePos x="0" y="0"/>
          <wp:positionH relativeFrom="column">
            <wp:posOffset>4089590</wp:posOffset>
          </wp:positionH>
          <wp:positionV relativeFrom="paragraph">
            <wp:posOffset>41275</wp:posOffset>
          </wp:positionV>
          <wp:extent cx="1935480" cy="522605"/>
          <wp:effectExtent l="0" t="0" r="7620" b="0"/>
          <wp:wrapNone/>
          <wp:docPr id="5" name="Obrázek 5" descr="Popis: LetterheadPre-Printed_SK-SK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LetterheadPre-Printed_SK-SK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01" t="-1476" b="96144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31"/>
    <w:multiLevelType w:val="multilevel"/>
    <w:tmpl w:val="074A1BC2"/>
    <w:styleLink w:val="Listnumbered"/>
    <w:lvl w:ilvl="0">
      <w:start w:val="1"/>
      <w:numFmt w:val="decimal"/>
      <w:pStyle w:val="Numberedbulletlevel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pStyle w:val="Numberedbulletlevel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Numberedbulletlevel3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02CB439F"/>
    <w:multiLevelType w:val="hybridMultilevel"/>
    <w:tmpl w:val="5BC64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7D0"/>
    <w:multiLevelType w:val="multilevel"/>
    <w:tmpl w:val="4066E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" w15:restartNumberingAfterBreak="0">
    <w:nsid w:val="1B6D54E8"/>
    <w:multiLevelType w:val="hybridMultilevel"/>
    <w:tmpl w:val="1244FDE4"/>
    <w:lvl w:ilvl="0" w:tplc="59044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B47B3"/>
    <w:multiLevelType w:val="hybridMultilevel"/>
    <w:tmpl w:val="85429BE2"/>
    <w:lvl w:ilvl="0" w:tplc="37541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B4F14"/>
    <w:multiLevelType w:val="multilevel"/>
    <w:tmpl w:val="8DF44184"/>
    <w:styleLink w:val="Listbullet"/>
    <w:lvl w:ilvl="0">
      <w:start w:val="1"/>
      <w:numFmt w:val="bullet"/>
      <w:pStyle w:val="Bulletlevel1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color w:val="EA5329"/>
        <w:sz w:val="20"/>
      </w:rPr>
    </w:lvl>
    <w:lvl w:ilvl="1">
      <w:start w:val="1"/>
      <w:numFmt w:val="bullet"/>
      <w:pStyle w:val="Bulletlevel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/>
        <w:i w:val="0"/>
        <w:color w:val="EA5329"/>
        <w:sz w:val="20"/>
      </w:rPr>
    </w:lvl>
    <w:lvl w:ilvl="2">
      <w:start w:val="1"/>
      <w:numFmt w:val="bullet"/>
      <w:pStyle w:val="Bulletlevel3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b/>
        <w:i w:val="0"/>
        <w:color w:val="EA5329"/>
        <w:sz w:val="20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b/>
        <w:i w:val="0"/>
        <w:color w:val="EA5329"/>
        <w:sz w:val="32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Arial" w:hAnsi="Arial" w:hint="default"/>
        <w:b/>
        <w:i w:val="0"/>
        <w:color w:val="EA5329"/>
        <w:sz w:val="3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b/>
        <w:i w:val="0"/>
        <w:color w:val="EA5329"/>
        <w:sz w:val="32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b/>
        <w:i w:val="0"/>
        <w:color w:val="EA5329"/>
        <w:sz w:val="3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b/>
        <w:i w:val="0"/>
        <w:color w:val="EA5329"/>
        <w:sz w:val="32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b/>
        <w:i w:val="0"/>
        <w:color w:val="EA5329"/>
        <w:sz w:val="32"/>
      </w:rPr>
    </w:lvl>
  </w:abstractNum>
  <w:abstractNum w:abstractNumId="6" w15:restartNumberingAfterBreak="0">
    <w:nsid w:val="79C30FC5"/>
    <w:multiLevelType w:val="hybridMultilevel"/>
    <w:tmpl w:val="68D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C"/>
    <w:rsid w:val="00005BF9"/>
    <w:rsid w:val="000063BD"/>
    <w:rsid w:val="00006BC9"/>
    <w:rsid w:val="00012B16"/>
    <w:rsid w:val="000C441C"/>
    <w:rsid w:val="000F11E6"/>
    <w:rsid w:val="00117D70"/>
    <w:rsid w:val="00163C33"/>
    <w:rsid w:val="00195211"/>
    <w:rsid w:val="001C2CAC"/>
    <w:rsid w:val="00213E35"/>
    <w:rsid w:val="002539A6"/>
    <w:rsid w:val="0026744E"/>
    <w:rsid w:val="002772DD"/>
    <w:rsid w:val="002A6BB9"/>
    <w:rsid w:val="002D2116"/>
    <w:rsid w:val="002D3285"/>
    <w:rsid w:val="002E2D50"/>
    <w:rsid w:val="002E441E"/>
    <w:rsid w:val="0030589B"/>
    <w:rsid w:val="003074D1"/>
    <w:rsid w:val="00311B98"/>
    <w:rsid w:val="003371C1"/>
    <w:rsid w:val="00343529"/>
    <w:rsid w:val="003A5E14"/>
    <w:rsid w:val="003C161B"/>
    <w:rsid w:val="003C6033"/>
    <w:rsid w:val="00434652"/>
    <w:rsid w:val="00434A0F"/>
    <w:rsid w:val="00452C1F"/>
    <w:rsid w:val="00466564"/>
    <w:rsid w:val="004802E0"/>
    <w:rsid w:val="004B3EF4"/>
    <w:rsid w:val="004C36F1"/>
    <w:rsid w:val="004E1BFE"/>
    <w:rsid w:val="005077ED"/>
    <w:rsid w:val="00507963"/>
    <w:rsid w:val="0052483F"/>
    <w:rsid w:val="00535F8A"/>
    <w:rsid w:val="00537DB0"/>
    <w:rsid w:val="00541380"/>
    <w:rsid w:val="00550BD1"/>
    <w:rsid w:val="00553C5F"/>
    <w:rsid w:val="00560F9E"/>
    <w:rsid w:val="00594E61"/>
    <w:rsid w:val="005A0DCB"/>
    <w:rsid w:val="005D12FF"/>
    <w:rsid w:val="005D24C1"/>
    <w:rsid w:val="005D26A9"/>
    <w:rsid w:val="005D542A"/>
    <w:rsid w:val="005E7BA8"/>
    <w:rsid w:val="006051D5"/>
    <w:rsid w:val="00612B0C"/>
    <w:rsid w:val="006515F0"/>
    <w:rsid w:val="0066181C"/>
    <w:rsid w:val="006749E0"/>
    <w:rsid w:val="00685779"/>
    <w:rsid w:val="0068689A"/>
    <w:rsid w:val="006A4ED0"/>
    <w:rsid w:val="006E3931"/>
    <w:rsid w:val="00717651"/>
    <w:rsid w:val="007319BB"/>
    <w:rsid w:val="00757AFF"/>
    <w:rsid w:val="0078015E"/>
    <w:rsid w:val="00781E9A"/>
    <w:rsid w:val="007936A6"/>
    <w:rsid w:val="007969FA"/>
    <w:rsid w:val="007B3236"/>
    <w:rsid w:val="007B3966"/>
    <w:rsid w:val="007C5962"/>
    <w:rsid w:val="007E0630"/>
    <w:rsid w:val="00812A33"/>
    <w:rsid w:val="00841E46"/>
    <w:rsid w:val="00852480"/>
    <w:rsid w:val="00857562"/>
    <w:rsid w:val="0089314F"/>
    <w:rsid w:val="008A7DDC"/>
    <w:rsid w:val="008D35C6"/>
    <w:rsid w:val="008E0E91"/>
    <w:rsid w:val="0095782A"/>
    <w:rsid w:val="009721D4"/>
    <w:rsid w:val="0098668A"/>
    <w:rsid w:val="009A64EC"/>
    <w:rsid w:val="009B470E"/>
    <w:rsid w:val="009B5D6E"/>
    <w:rsid w:val="009D592E"/>
    <w:rsid w:val="00A00183"/>
    <w:rsid w:val="00A1100C"/>
    <w:rsid w:val="00A3661C"/>
    <w:rsid w:val="00A416B4"/>
    <w:rsid w:val="00A5675F"/>
    <w:rsid w:val="00A765A1"/>
    <w:rsid w:val="00A85321"/>
    <w:rsid w:val="00A9568C"/>
    <w:rsid w:val="00AA65A7"/>
    <w:rsid w:val="00AD663C"/>
    <w:rsid w:val="00AE1D82"/>
    <w:rsid w:val="00B15F7F"/>
    <w:rsid w:val="00B23755"/>
    <w:rsid w:val="00B621E6"/>
    <w:rsid w:val="00B825BB"/>
    <w:rsid w:val="00B8777F"/>
    <w:rsid w:val="00B97D38"/>
    <w:rsid w:val="00BB088D"/>
    <w:rsid w:val="00BC050D"/>
    <w:rsid w:val="00BC1C19"/>
    <w:rsid w:val="00BF191C"/>
    <w:rsid w:val="00C10CEB"/>
    <w:rsid w:val="00C30F59"/>
    <w:rsid w:val="00C50F25"/>
    <w:rsid w:val="00C770E2"/>
    <w:rsid w:val="00C86C24"/>
    <w:rsid w:val="00CA60A2"/>
    <w:rsid w:val="00CA7FBC"/>
    <w:rsid w:val="00CE300C"/>
    <w:rsid w:val="00CE61DD"/>
    <w:rsid w:val="00CF7124"/>
    <w:rsid w:val="00D05DF8"/>
    <w:rsid w:val="00D32F4F"/>
    <w:rsid w:val="00D75679"/>
    <w:rsid w:val="00D84ED4"/>
    <w:rsid w:val="00DA7DE2"/>
    <w:rsid w:val="00DB1AE0"/>
    <w:rsid w:val="00DC1CC8"/>
    <w:rsid w:val="00DD45AC"/>
    <w:rsid w:val="00DD7B42"/>
    <w:rsid w:val="00DE00F0"/>
    <w:rsid w:val="00E15AFB"/>
    <w:rsid w:val="00E25376"/>
    <w:rsid w:val="00E273DF"/>
    <w:rsid w:val="00E51891"/>
    <w:rsid w:val="00E8168A"/>
    <w:rsid w:val="00E90454"/>
    <w:rsid w:val="00EC0783"/>
    <w:rsid w:val="00EF27BD"/>
    <w:rsid w:val="00EF40F7"/>
    <w:rsid w:val="00F151D4"/>
    <w:rsid w:val="00F15EB7"/>
    <w:rsid w:val="00F209AD"/>
    <w:rsid w:val="00F46D4F"/>
    <w:rsid w:val="00F52613"/>
    <w:rsid w:val="00F628F4"/>
    <w:rsid w:val="00F71B1C"/>
    <w:rsid w:val="00F84165"/>
    <w:rsid w:val="00FA4E6A"/>
    <w:rsid w:val="00FB2799"/>
    <w:rsid w:val="00FC254D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A30ADB-05EC-4593-9A99-2388D3D9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AD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DD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i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_Title"/>
    <w:basedOn w:val="Normal"/>
    <w:qFormat/>
    <w:rsid w:val="00537DB0"/>
    <w:pPr>
      <w:spacing w:after="0" w:line="390" w:lineRule="exact"/>
    </w:pPr>
    <w:rPr>
      <w:rFonts w:ascii="Arial" w:hAnsi="Arial"/>
      <w:caps/>
      <w:color w:val="E3681F" w:themeColor="text2"/>
      <w:position w:val="-4"/>
      <w:sz w:val="48"/>
      <w:lang w:val="en-GB"/>
    </w:rPr>
  </w:style>
  <w:style w:type="paragraph" w:customStyle="1" w:styleId="Bodytext">
    <w:name w:val="_Body text"/>
    <w:basedOn w:val="Normal"/>
    <w:qFormat/>
    <w:rsid w:val="00537DB0"/>
    <w:pPr>
      <w:spacing w:after="0" w:line="240" w:lineRule="atLeast"/>
    </w:pPr>
    <w:rPr>
      <w:rFonts w:ascii="Arial" w:hAnsi="Arial"/>
      <w:lang w:val="en-GB"/>
    </w:rPr>
  </w:style>
  <w:style w:type="paragraph" w:customStyle="1" w:styleId="Bulletlevel3">
    <w:name w:val="_Bullet level 3"/>
    <w:basedOn w:val="Normal"/>
    <w:qFormat/>
    <w:rsid w:val="00537DB0"/>
    <w:pPr>
      <w:numPr>
        <w:ilvl w:val="2"/>
        <w:numId w:val="1"/>
      </w:numPr>
      <w:spacing w:after="0" w:line="200" w:lineRule="atLeast"/>
    </w:pPr>
    <w:rPr>
      <w:rFonts w:ascii="Arial" w:hAnsi="Arial"/>
      <w:lang w:val="en-GB"/>
    </w:rPr>
  </w:style>
  <w:style w:type="paragraph" w:customStyle="1" w:styleId="Bulletlevel2">
    <w:name w:val="_Bullet level 2"/>
    <w:basedOn w:val="Normal"/>
    <w:next w:val="Bulletlevel3"/>
    <w:qFormat/>
    <w:rsid w:val="00537DB0"/>
    <w:pPr>
      <w:numPr>
        <w:ilvl w:val="1"/>
        <w:numId w:val="1"/>
      </w:numPr>
      <w:spacing w:after="0" w:line="200" w:lineRule="atLeast"/>
    </w:pPr>
    <w:rPr>
      <w:rFonts w:ascii="Arial" w:hAnsi="Arial"/>
      <w:lang w:val="en-GB"/>
    </w:rPr>
  </w:style>
  <w:style w:type="paragraph" w:customStyle="1" w:styleId="Bulletlevel1">
    <w:name w:val="_Bullet level 1"/>
    <w:basedOn w:val="Normal"/>
    <w:next w:val="Bulletlevel2"/>
    <w:qFormat/>
    <w:rsid w:val="00537DB0"/>
    <w:pPr>
      <w:numPr>
        <w:numId w:val="1"/>
      </w:numPr>
      <w:spacing w:after="0" w:line="200" w:lineRule="atLeast"/>
    </w:pPr>
    <w:rPr>
      <w:rFonts w:ascii="Arial" w:hAnsi="Arial"/>
      <w:lang w:val="en-GB"/>
    </w:rPr>
  </w:style>
  <w:style w:type="paragraph" w:customStyle="1" w:styleId="Heading1">
    <w:name w:val="_Heading 1"/>
    <w:basedOn w:val="Normal"/>
    <w:next w:val="Bodytext"/>
    <w:qFormat/>
    <w:rsid w:val="00537DB0"/>
    <w:pPr>
      <w:spacing w:after="0" w:line="200" w:lineRule="atLeast"/>
    </w:pPr>
    <w:rPr>
      <w:rFonts w:ascii="Arial" w:hAnsi="Arial"/>
      <w:b/>
      <w:lang w:val="en-GB"/>
    </w:rPr>
  </w:style>
  <w:style w:type="paragraph" w:customStyle="1" w:styleId="AlertRiskManagement">
    <w:name w:val="_Alert / Risk Management"/>
    <w:basedOn w:val="Normal"/>
    <w:semiHidden/>
    <w:qFormat/>
    <w:rsid w:val="00537DB0"/>
    <w:pPr>
      <w:framePr w:hSpace="181" w:wrap="around" w:vAnchor="page" w:hAnchor="margin" w:y="1022"/>
      <w:spacing w:after="0" w:line="336" w:lineRule="exact"/>
      <w:suppressOverlap/>
    </w:pPr>
    <w:rPr>
      <w:rFonts w:ascii="Arial" w:hAnsi="Arial"/>
      <w:b/>
      <w:color w:val="702700"/>
      <w:sz w:val="28"/>
      <w:lang w:val="en-GB"/>
    </w:rPr>
  </w:style>
  <w:style w:type="paragraph" w:customStyle="1" w:styleId="Numberedbulletlevel1">
    <w:name w:val="_Numbered bullet level 1"/>
    <w:basedOn w:val="Normal"/>
    <w:next w:val="Bulletlevel1"/>
    <w:qFormat/>
    <w:rsid w:val="00537DB0"/>
    <w:pPr>
      <w:numPr>
        <w:numId w:val="2"/>
      </w:numPr>
      <w:spacing w:after="0" w:line="200" w:lineRule="atLeast"/>
      <w:contextualSpacing/>
    </w:pPr>
    <w:rPr>
      <w:rFonts w:ascii="Arial" w:hAnsi="Arial"/>
      <w:lang w:val="en-GB"/>
    </w:rPr>
  </w:style>
  <w:style w:type="paragraph" w:customStyle="1" w:styleId="Numberedbulletlevel2">
    <w:name w:val="_Numbered bullet level 2"/>
    <w:basedOn w:val="Normal"/>
    <w:next w:val="Bulletlevel1"/>
    <w:qFormat/>
    <w:rsid w:val="00537DB0"/>
    <w:pPr>
      <w:numPr>
        <w:ilvl w:val="1"/>
        <w:numId w:val="2"/>
      </w:numPr>
      <w:spacing w:after="0" w:line="200" w:lineRule="atLeast"/>
      <w:contextualSpacing/>
    </w:pPr>
    <w:rPr>
      <w:rFonts w:ascii="Arial" w:hAnsi="Arial"/>
      <w:lang w:val="en-GB"/>
    </w:rPr>
  </w:style>
  <w:style w:type="paragraph" w:customStyle="1" w:styleId="Numberedbulletlevel3">
    <w:name w:val="_Numbered bullet level 3"/>
    <w:basedOn w:val="Normal"/>
    <w:next w:val="Bulletlevel1"/>
    <w:qFormat/>
    <w:rsid w:val="00537DB0"/>
    <w:pPr>
      <w:numPr>
        <w:ilvl w:val="2"/>
        <w:numId w:val="2"/>
      </w:numPr>
      <w:spacing w:after="0" w:line="200" w:lineRule="atLeast"/>
      <w:contextualSpacing/>
    </w:pPr>
    <w:rPr>
      <w:rFonts w:ascii="Arial" w:hAnsi="Arial"/>
      <w:lang w:val="en-GB"/>
    </w:rPr>
  </w:style>
  <w:style w:type="paragraph" w:customStyle="1" w:styleId="Charttextfirstcol">
    <w:name w:val="_Chart text first col"/>
    <w:basedOn w:val="Normal"/>
    <w:qFormat/>
    <w:rsid w:val="00537DB0"/>
    <w:pPr>
      <w:spacing w:after="0" w:line="160" w:lineRule="exact"/>
    </w:pPr>
    <w:rPr>
      <w:rFonts w:ascii="Arial" w:hAnsi="Arial"/>
      <w:b/>
      <w:color w:val="E3681F" w:themeColor="text2"/>
      <w:sz w:val="13"/>
      <w:lang w:val="en-GB"/>
    </w:rPr>
  </w:style>
  <w:style w:type="paragraph" w:customStyle="1" w:styleId="CapitalTableText">
    <w:name w:val="_Capital Table Text"/>
    <w:basedOn w:val="Normal"/>
    <w:semiHidden/>
    <w:rsid w:val="00CA60A2"/>
    <w:pPr>
      <w:spacing w:line="240" w:lineRule="auto"/>
    </w:pPr>
    <w:rPr>
      <w:rFonts w:ascii="Arial" w:hAnsi="Arial"/>
      <w:caps/>
    </w:rPr>
  </w:style>
  <w:style w:type="paragraph" w:customStyle="1" w:styleId="Spacer">
    <w:name w:val="_Spacer"/>
    <w:basedOn w:val="Normal"/>
    <w:next w:val="Normal"/>
    <w:semiHidden/>
    <w:rsid w:val="00CA60A2"/>
    <w:pPr>
      <w:tabs>
        <w:tab w:val="left" w:pos="2215"/>
      </w:tabs>
      <w:spacing w:line="14" w:lineRule="exact"/>
    </w:pPr>
    <w:rPr>
      <w:rFonts w:ascii="Arial" w:hAnsi="Arial"/>
    </w:rPr>
  </w:style>
  <w:style w:type="paragraph" w:customStyle="1" w:styleId="Tabletext">
    <w:name w:val="_Table text"/>
    <w:basedOn w:val="Normal"/>
    <w:semiHidden/>
    <w:rsid w:val="00CA60A2"/>
    <w:pPr>
      <w:spacing w:line="240" w:lineRule="exact"/>
    </w:pPr>
    <w:rPr>
      <w:rFonts w:ascii="Arial" w:hAnsi="Arial"/>
    </w:rPr>
  </w:style>
  <w:style w:type="paragraph" w:customStyle="1" w:styleId="FooterAddress">
    <w:name w:val="_Footer Address"/>
    <w:semiHidden/>
    <w:rsid w:val="00CA60A2"/>
    <w:pPr>
      <w:tabs>
        <w:tab w:val="right" w:pos="8823"/>
      </w:tabs>
      <w:spacing w:line="192" w:lineRule="exact"/>
    </w:pPr>
    <w:rPr>
      <w:rFonts w:ascii="Arial" w:hAnsi="Arial" w:cs="Helvetica"/>
      <w:color w:val="685648"/>
      <w:sz w:val="16"/>
      <w:szCs w:val="18"/>
      <w:lang w:val="en-GB"/>
    </w:rPr>
  </w:style>
  <w:style w:type="paragraph" w:customStyle="1" w:styleId="LegalCopy">
    <w:name w:val="_Legal Copy"/>
    <w:basedOn w:val="FooterAddress"/>
    <w:semiHidden/>
    <w:rsid w:val="00CA60A2"/>
    <w:pPr>
      <w:spacing w:after="0" w:line="110" w:lineRule="exact"/>
    </w:pPr>
    <w:rPr>
      <w:sz w:val="10"/>
    </w:rPr>
  </w:style>
  <w:style w:type="paragraph" w:customStyle="1" w:styleId="Logospacer">
    <w:name w:val="_Logo spacer"/>
    <w:basedOn w:val="Spacer"/>
    <w:semiHidden/>
    <w:rsid w:val="00CA60A2"/>
    <w:pPr>
      <w:spacing w:after="10" w:line="240" w:lineRule="auto"/>
    </w:pPr>
  </w:style>
  <w:style w:type="paragraph" w:customStyle="1" w:styleId="Tabletextnamesurnametypehereyourreference">
    <w:name w:val="_Table text (name surname &amp; type here (your reference))"/>
    <w:basedOn w:val="Tabletext"/>
    <w:semiHidden/>
    <w:rsid w:val="00CA60A2"/>
    <w:pPr>
      <w:spacing w:line="256" w:lineRule="exact"/>
    </w:pPr>
  </w:style>
  <w:style w:type="paragraph" w:customStyle="1" w:styleId="Footnote">
    <w:name w:val="_Footnote"/>
    <w:basedOn w:val="Normal"/>
    <w:next w:val="Normal"/>
    <w:rsid w:val="00CA60A2"/>
    <w:pPr>
      <w:framePr w:w="8817" w:wrap="around" w:hAnchor="margin" w:yAlign="bottom" w:anchorLock="1"/>
      <w:spacing w:after="120" w:line="144" w:lineRule="exact"/>
    </w:pPr>
    <w:rPr>
      <w:rFonts w:ascii="Arial" w:hAnsi="Arial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DD45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tleReference1">
    <w:name w:val="Subtle Reference1"/>
    <w:rsid w:val="00DD45AC"/>
    <w:rPr>
      <w:i/>
      <w:smallCaps/>
      <w:color w:val="C0504D"/>
      <w:u w:color="C0504D"/>
    </w:rPr>
  </w:style>
  <w:style w:type="paragraph" w:styleId="Subtitle">
    <w:name w:val="Subtitle"/>
    <w:basedOn w:val="Normal"/>
    <w:next w:val="Normal"/>
    <w:link w:val="SubtitleChar"/>
    <w:qFormat/>
    <w:rsid w:val="00DD45A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C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45AC"/>
    <w:rPr>
      <w:rFonts w:ascii="Cambria" w:eastAsia="Calibri" w:hAnsi="Cambria" w:cs="Times New Roman"/>
      <w:i/>
      <w:iCs/>
      <w:color w:val="C00000"/>
      <w:sz w:val="24"/>
      <w:szCs w:val="24"/>
      <w:lang w:eastAsia="cs-CZ"/>
    </w:rPr>
  </w:style>
  <w:style w:type="character" w:customStyle="1" w:styleId="SubtleEmphasis1">
    <w:name w:val="Subtle Emphasis1"/>
    <w:rsid w:val="00DD45AC"/>
    <w:rPr>
      <w:rFonts w:ascii="Cambria" w:hAnsi="Cambria"/>
      <w:i/>
      <w:color w:val="C0504D"/>
    </w:rPr>
  </w:style>
  <w:style w:type="character" w:styleId="Hyperlink">
    <w:name w:val="Hyperlink"/>
    <w:rsid w:val="00DD45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D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45AC"/>
    <w:rPr>
      <w:rFonts w:ascii="Calibri" w:eastAsia="Calibri" w:hAnsi="Calibri" w:cs="Times New Roman"/>
      <w:i/>
      <w:iCs/>
      <w:sz w:val="20"/>
      <w:szCs w:val="20"/>
      <w:lang w:eastAsia="cs-CZ"/>
    </w:rPr>
  </w:style>
  <w:style w:type="paragraph" w:styleId="Footer">
    <w:name w:val="footer"/>
    <w:basedOn w:val="Normal"/>
    <w:link w:val="FooterChar"/>
    <w:rsid w:val="00DD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45AC"/>
    <w:rPr>
      <w:rFonts w:ascii="Calibri" w:eastAsia="Calibri" w:hAnsi="Calibri" w:cs="Times New Roman"/>
      <w:i/>
      <w:iCs/>
      <w:sz w:val="20"/>
      <w:szCs w:val="20"/>
      <w:lang w:eastAsia="cs-CZ"/>
    </w:rPr>
  </w:style>
  <w:style w:type="paragraph" w:customStyle="1" w:styleId="ListParagraph1">
    <w:name w:val="List Paragraph1"/>
    <w:basedOn w:val="Normal"/>
    <w:rsid w:val="00DD45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D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5AC"/>
    <w:rPr>
      <w:rFonts w:ascii="Tahoma" w:eastAsia="Calibri" w:hAnsi="Tahoma" w:cs="Tahoma"/>
      <w:i/>
      <w:iCs/>
      <w:sz w:val="16"/>
      <w:szCs w:val="16"/>
      <w:lang w:eastAsia="cs-CZ"/>
    </w:rPr>
  </w:style>
  <w:style w:type="character" w:styleId="PageNumber">
    <w:name w:val="page number"/>
    <w:basedOn w:val="DefaultParagraphFont"/>
    <w:rsid w:val="00DD45AC"/>
  </w:style>
  <w:style w:type="paragraph" w:customStyle="1" w:styleId="Default">
    <w:name w:val="Default"/>
    <w:rsid w:val="00DD45A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hps">
    <w:name w:val="hps"/>
    <w:rsid w:val="00DD45AC"/>
  </w:style>
  <w:style w:type="numbering" w:customStyle="1" w:styleId="Listbullet">
    <w:name w:val="__List bullet"/>
    <w:basedOn w:val="NoList"/>
    <w:uiPriority w:val="99"/>
    <w:rsid w:val="00434652"/>
    <w:pPr>
      <w:numPr>
        <w:numId w:val="1"/>
      </w:numPr>
    </w:pPr>
  </w:style>
  <w:style w:type="numbering" w:customStyle="1" w:styleId="Listnumbered">
    <w:name w:val="__List numbered"/>
    <w:basedOn w:val="NoList"/>
    <w:uiPriority w:val="99"/>
    <w:rsid w:val="00F5261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6744E"/>
    <w:pPr>
      <w:ind w:left="720"/>
      <w:contextualSpacing/>
    </w:pPr>
  </w:style>
  <w:style w:type="character" w:customStyle="1" w:styleId="shorttext">
    <w:name w:val="short_text"/>
    <w:basedOn w:val="DefaultParagraphFont"/>
    <w:rsid w:val="00717651"/>
  </w:style>
  <w:style w:type="paragraph" w:styleId="FootnoteText">
    <w:name w:val="footnote text"/>
    <w:basedOn w:val="Normal"/>
    <w:link w:val="FootnoteTextChar"/>
    <w:uiPriority w:val="99"/>
    <w:semiHidden/>
    <w:unhideWhenUsed/>
    <w:rsid w:val="00717651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end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redendo">
      <a:dk1>
        <a:srgbClr val="685648"/>
      </a:dk1>
      <a:lt1>
        <a:srgbClr val="FFFFFF"/>
      </a:lt1>
      <a:dk2>
        <a:srgbClr val="E3681F"/>
      </a:dk2>
      <a:lt2>
        <a:srgbClr val="FFFFFF"/>
      </a:lt2>
      <a:accent1>
        <a:srgbClr val="AE2D15"/>
      </a:accent1>
      <a:accent2>
        <a:srgbClr val="E19A1E"/>
      </a:accent2>
      <a:accent3>
        <a:srgbClr val="9C8C84"/>
      </a:accent3>
      <a:accent4>
        <a:srgbClr val="685648"/>
      </a:accent4>
      <a:accent5>
        <a:srgbClr val="E3681F"/>
      </a:accent5>
      <a:accent6>
        <a:srgbClr val="C6B8AF"/>
      </a:accent6>
      <a:hlink>
        <a:srgbClr val="685648"/>
      </a:hlink>
      <a:folHlink>
        <a:srgbClr val="6856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2B35-951D-48F1-AC61-B21A975A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KUPEG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Václavíková Lenka</dc:creator>
  <cp:lastModifiedBy>Laurence de Barquin</cp:lastModifiedBy>
  <cp:revision>2</cp:revision>
  <cp:lastPrinted>2018-08-14T11:53:00Z</cp:lastPrinted>
  <dcterms:created xsi:type="dcterms:W3CDTF">2021-02-10T09:31:00Z</dcterms:created>
  <dcterms:modified xsi:type="dcterms:W3CDTF">2021-02-10T09:31:00Z</dcterms:modified>
</cp:coreProperties>
</file>