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BA" w:rsidRPr="00934BAC" w:rsidRDefault="007768BA" w:rsidP="007768BA">
      <w:pPr>
        <w:spacing w:after="120" w:line="293" w:lineRule="atLeast"/>
        <w:outlineLvl w:val="1"/>
        <w:rPr>
          <w:rFonts w:eastAsia="Times New Roman" w:cs="Arial"/>
          <w:b/>
          <w:bCs/>
          <w:color w:val="E3681F" w:themeColor="text2"/>
          <w:kern w:val="36"/>
          <w:szCs w:val="20"/>
          <w:lang w:val="nl-NL" w:eastAsia="en-GB"/>
        </w:rPr>
      </w:pPr>
      <w:bookmarkStart w:id="0" w:name="_GoBack"/>
      <w:bookmarkEnd w:id="0"/>
      <w:r w:rsidRPr="00934BAC">
        <w:rPr>
          <w:rFonts w:eastAsia="Times New Roman" w:cs="Arial"/>
          <w:b/>
          <w:bCs/>
          <w:color w:val="E3681F" w:themeColor="text2"/>
          <w:kern w:val="36"/>
          <w:szCs w:val="20"/>
          <w:lang w:val="nl-NL" w:eastAsia="en-GB"/>
        </w:rPr>
        <w:t>Exportfinanciering (Finexpo)</w:t>
      </w:r>
    </w:p>
    <w:p w:rsidR="007768BA" w:rsidRPr="007768BA" w:rsidRDefault="007768BA" w:rsidP="007768BA">
      <w:pPr>
        <w:spacing w:before="100" w:beforeAutospacing="1" w:after="100" w:afterAutospacing="1" w:line="293" w:lineRule="atLeast"/>
        <w:jc w:val="both"/>
        <w:rPr>
          <w:rFonts w:eastAsia="Times New Roman" w:cs="Arial"/>
          <w:color w:val="32312E"/>
          <w:szCs w:val="20"/>
          <w:lang w:val="nl-NL" w:eastAsia="en-GB"/>
        </w:rPr>
      </w:pPr>
      <w:r w:rsidRPr="007768BA">
        <w:rPr>
          <w:rFonts w:eastAsia="Times New Roman" w:cs="Arial"/>
          <w:color w:val="32312E"/>
          <w:szCs w:val="20"/>
          <w:lang w:val="nl-NL" w:eastAsia="en-GB"/>
        </w:rPr>
        <w:t>Finexpo is een interministerieel raadgevend comité dat wordt beheerd door de Directie Financiële steun aan de export (B2), binnen de Federale Overheidsdienst Buitenlandse Zaken, Buitenlandse Handel en Ontwikkelingssamenwerking, en door de Administratie Internationale en Europese Financiële Aangelegenheden, binnen de Federale Overheidsdienst Financiën.</w:t>
      </w:r>
    </w:p>
    <w:p w:rsidR="007768BA" w:rsidRPr="007768BA" w:rsidRDefault="007768BA" w:rsidP="007768BA">
      <w:pPr>
        <w:spacing w:before="100" w:beforeAutospacing="1" w:after="100" w:afterAutospacing="1" w:line="293" w:lineRule="atLeast"/>
        <w:jc w:val="both"/>
        <w:rPr>
          <w:rFonts w:eastAsia="Times New Roman" w:cs="Arial"/>
          <w:color w:val="32312E"/>
          <w:szCs w:val="20"/>
          <w:lang w:val="nl-NL" w:eastAsia="en-GB"/>
        </w:rPr>
      </w:pPr>
      <w:r w:rsidRPr="007768BA">
        <w:rPr>
          <w:rFonts w:eastAsia="Times New Roman" w:cs="Arial"/>
          <w:color w:val="32312E"/>
          <w:szCs w:val="20"/>
          <w:lang w:val="nl-NL" w:eastAsia="en-GB"/>
        </w:rPr>
        <w:t>De naam Finexpo is de samentrekking van twee sleutelwoorden: financiering en export. De doelstelling van Finexpo is de export van Belgische kapitaalgoederen en aanverwante diensten te ondersteunen.</w:t>
      </w:r>
    </w:p>
    <w:p w:rsidR="007768BA" w:rsidRPr="007768BA" w:rsidRDefault="007768BA" w:rsidP="007768BA">
      <w:pPr>
        <w:spacing w:before="100" w:beforeAutospacing="1" w:after="100" w:afterAutospacing="1" w:line="293" w:lineRule="atLeast"/>
        <w:jc w:val="both"/>
        <w:rPr>
          <w:rFonts w:eastAsia="Times New Roman" w:cs="Arial"/>
          <w:color w:val="32312E"/>
          <w:szCs w:val="20"/>
          <w:lang w:val="nl-NL" w:eastAsia="en-GB"/>
        </w:rPr>
      </w:pPr>
      <w:r w:rsidRPr="007768BA">
        <w:rPr>
          <w:rFonts w:eastAsia="Times New Roman" w:cs="Arial"/>
          <w:color w:val="32312E"/>
          <w:szCs w:val="20"/>
          <w:lang w:val="nl-NL" w:eastAsia="en-GB"/>
        </w:rPr>
        <w:t>Finexpo wil het imago en de reputatie van de Belgische bedrijven in het buitenland promoten en de vrije handel verzoenen met de noodzaak de concurrentiekracht van de exporteurs te vrijwaren. Daarbij moet er ook worden bijgedragen aan de economische en sociale ontwikkeling van het begunstigde land.</w:t>
      </w:r>
    </w:p>
    <w:p w:rsidR="007768BA" w:rsidRPr="007768BA" w:rsidRDefault="007768BA" w:rsidP="007768BA">
      <w:pPr>
        <w:spacing w:before="100" w:beforeAutospacing="1" w:after="100" w:afterAutospacing="1" w:line="293" w:lineRule="atLeast"/>
        <w:jc w:val="both"/>
        <w:rPr>
          <w:rFonts w:eastAsia="Times New Roman" w:cs="Arial"/>
          <w:color w:val="32312E"/>
          <w:szCs w:val="20"/>
          <w:lang w:val="nl-NL" w:eastAsia="en-GB"/>
        </w:rPr>
      </w:pPr>
      <w:r w:rsidRPr="007768BA">
        <w:rPr>
          <w:rFonts w:eastAsia="Times New Roman" w:cs="Arial"/>
          <w:color w:val="32312E"/>
          <w:szCs w:val="20"/>
          <w:lang w:val="nl-NL" w:eastAsia="en-GB"/>
        </w:rPr>
        <w:t>Alle beslissingen van Finexpo worden genomen met inachtneming van het Arrangement van de OESO (Organisatie voor Economische Samenwerking en Ontwikkeling) betreffende publieke exportsteun, alsook de OESO-richtlijnen inzake exportkredieten en corruptiebestrijding, en de aanbeveling van het Comité voor Ontwikkelingshulp (DAC) over het ontbinden van de hulp.</w:t>
      </w:r>
    </w:p>
    <w:p w:rsidR="007768BA" w:rsidRPr="007768BA" w:rsidRDefault="007768BA" w:rsidP="007768BA">
      <w:pPr>
        <w:spacing w:before="100" w:beforeAutospacing="1" w:after="100" w:afterAutospacing="1" w:line="293" w:lineRule="atLeast"/>
        <w:jc w:val="both"/>
        <w:rPr>
          <w:rFonts w:eastAsia="Times New Roman" w:cs="Arial"/>
          <w:color w:val="32312E"/>
          <w:szCs w:val="20"/>
          <w:lang w:val="nl-NL" w:eastAsia="en-GB"/>
        </w:rPr>
      </w:pPr>
      <w:r w:rsidRPr="007768BA">
        <w:rPr>
          <w:rFonts w:eastAsia="Times New Roman" w:cs="Arial"/>
          <w:color w:val="32312E"/>
          <w:szCs w:val="20"/>
          <w:lang w:val="nl-NL" w:eastAsia="en-GB"/>
        </w:rPr>
        <w:t>De tussenkomst van Finexpo betreft de financieringsvoorwaarden van kredieten die gepaard gaan met de levering van uitrustingsgoederen en aanverwante diensten.</w:t>
      </w:r>
    </w:p>
    <w:p w:rsidR="007768BA" w:rsidRPr="007768BA" w:rsidRDefault="007768BA" w:rsidP="007768BA">
      <w:pPr>
        <w:spacing w:before="100" w:beforeAutospacing="1" w:after="100" w:afterAutospacing="1" w:line="293" w:lineRule="atLeast"/>
        <w:jc w:val="both"/>
        <w:rPr>
          <w:rFonts w:eastAsia="Times New Roman" w:cs="Arial"/>
          <w:color w:val="32312E"/>
          <w:szCs w:val="20"/>
          <w:lang w:val="nl-NL" w:eastAsia="en-GB"/>
        </w:rPr>
      </w:pPr>
      <w:r w:rsidRPr="007768BA">
        <w:rPr>
          <w:rFonts w:eastAsia="Times New Roman" w:cs="Arial"/>
          <w:color w:val="32312E"/>
          <w:szCs w:val="20"/>
          <w:lang w:val="nl-NL" w:eastAsia="en-GB"/>
        </w:rPr>
        <w:t>Finexpo heeft twee soorten instrumenten: één commercieel instrument en verschillende concessionele instrumenten. De keuze van instrument wordt bepaald door de aard van het project, het land waarnaar men wil exporteren en de voorkeur van de betrokken exporteur/bank.</w:t>
      </w:r>
    </w:p>
    <w:p w:rsidR="006F3C69" w:rsidRDefault="006F3C69">
      <w:pPr>
        <w:rPr>
          <w:lang w:val="nl-NL"/>
        </w:rPr>
      </w:pPr>
    </w:p>
    <w:p w:rsidR="007A2290" w:rsidRDefault="00891846">
      <w:pPr>
        <w:rPr>
          <w:b/>
          <w:lang w:val="nl-NL"/>
        </w:rPr>
      </w:pPr>
      <w:r>
        <w:rPr>
          <w:b/>
          <w:lang w:val="nl-NL"/>
        </w:rPr>
        <w:t>M</w:t>
      </w:r>
      <w:r w:rsidR="007768BA" w:rsidRPr="007A2290">
        <w:rPr>
          <w:b/>
          <w:lang w:val="nl-NL"/>
        </w:rPr>
        <w:t>eer informatie over</w:t>
      </w:r>
      <w:r>
        <w:rPr>
          <w:b/>
          <w:lang w:val="nl-NL"/>
        </w:rPr>
        <w:t xml:space="preserve"> Finexpo en de </w:t>
      </w:r>
      <w:r w:rsidR="007768BA" w:rsidRPr="007A2290">
        <w:rPr>
          <w:b/>
          <w:lang w:val="nl-NL"/>
        </w:rPr>
        <w:t>producten</w:t>
      </w:r>
      <w:r w:rsidR="007A2290">
        <w:rPr>
          <w:b/>
          <w:lang w:val="nl-NL"/>
        </w:rPr>
        <w:t xml:space="preserve"> </w:t>
      </w:r>
      <w:r>
        <w:rPr>
          <w:b/>
          <w:lang w:val="nl-NL"/>
        </w:rPr>
        <w:t xml:space="preserve">is beschikbaar op onderstaande website: </w:t>
      </w:r>
    </w:p>
    <w:p w:rsidR="007A2290" w:rsidRDefault="007A2290">
      <w:pPr>
        <w:rPr>
          <w:b/>
          <w:lang w:val="nl-NL"/>
        </w:rPr>
      </w:pPr>
    </w:p>
    <w:p w:rsidR="007768BA" w:rsidRPr="007A2290" w:rsidRDefault="00311429" w:rsidP="007A2290">
      <w:pPr>
        <w:jc w:val="center"/>
        <w:rPr>
          <w:b/>
          <w:lang w:val="nl-NL"/>
        </w:rPr>
      </w:pPr>
      <w:hyperlink r:id="rId5" w:history="1">
        <w:r w:rsidR="007768BA" w:rsidRPr="007A2290">
          <w:rPr>
            <w:rStyle w:val="Hyperlink"/>
            <w:b/>
            <w:lang w:val="nl-NL"/>
          </w:rPr>
          <w:t>https://diplomatie.belgium.be/nl/Beleid/economische_diplomatie/finexpo</w:t>
        </w:r>
      </w:hyperlink>
    </w:p>
    <w:sectPr w:rsidR="007768BA" w:rsidRPr="007A2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4"/>
    <w:rsid w:val="0001372C"/>
    <w:rsid w:val="002A717A"/>
    <w:rsid w:val="00311429"/>
    <w:rsid w:val="005D35E3"/>
    <w:rsid w:val="005E122F"/>
    <w:rsid w:val="006F3C69"/>
    <w:rsid w:val="0074029B"/>
    <w:rsid w:val="007768BA"/>
    <w:rsid w:val="007A2290"/>
    <w:rsid w:val="00891846"/>
    <w:rsid w:val="00934BAC"/>
    <w:rsid w:val="00DF0C04"/>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7C0B-0DDE-4FC9-AEB0-10754F5F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paragraph" w:styleId="NormalWeb">
    <w:name w:val="Normal (Web)"/>
    <w:basedOn w:val="Normal"/>
    <w:uiPriority w:val="99"/>
    <w:semiHidden/>
    <w:unhideWhenUsed/>
    <w:rsid w:val="00776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68BA"/>
    <w:rPr>
      <w:color w:val="6856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816">
      <w:bodyDiv w:val="1"/>
      <w:marLeft w:val="0"/>
      <w:marRight w:val="0"/>
      <w:marTop w:val="0"/>
      <w:marBottom w:val="0"/>
      <w:divBdr>
        <w:top w:val="none" w:sz="0" w:space="0" w:color="auto"/>
        <w:left w:val="none" w:sz="0" w:space="0" w:color="auto"/>
        <w:bottom w:val="none" w:sz="0" w:space="0" w:color="auto"/>
        <w:right w:val="none" w:sz="0" w:space="0" w:color="auto"/>
      </w:divBdr>
      <w:divsChild>
        <w:div w:id="1999963150">
          <w:marLeft w:val="0"/>
          <w:marRight w:val="0"/>
          <w:marTop w:val="0"/>
          <w:marBottom w:val="0"/>
          <w:divBdr>
            <w:top w:val="none" w:sz="0" w:space="0" w:color="auto"/>
            <w:left w:val="none" w:sz="0" w:space="0" w:color="auto"/>
            <w:bottom w:val="none" w:sz="0" w:space="0" w:color="auto"/>
            <w:right w:val="none" w:sz="0" w:space="0" w:color="auto"/>
          </w:divBdr>
          <w:divsChild>
            <w:div w:id="587882456">
              <w:marLeft w:val="0"/>
              <w:marRight w:val="0"/>
              <w:marTop w:val="0"/>
              <w:marBottom w:val="0"/>
              <w:divBdr>
                <w:top w:val="none" w:sz="0" w:space="0" w:color="auto"/>
                <w:left w:val="none" w:sz="0" w:space="0" w:color="auto"/>
                <w:bottom w:val="none" w:sz="0" w:space="0" w:color="auto"/>
                <w:right w:val="none" w:sz="0" w:space="0" w:color="auto"/>
              </w:divBdr>
              <w:divsChild>
                <w:div w:id="435290573">
                  <w:marLeft w:val="0"/>
                  <w:marRight w:val="0"/>
                  <w:marTop w:val="0"/>
                  <w:marBottom w:val="0"/>
                  <w:divBdr>
                    <w:top w:val="none" w:sz="0" w:space="0" w:color="auto"/>
                    <w:left w:val="none" w:sz="0" w:space="0" w:color="auto"/>
                    <w:bottom w:val="none" w:sz="0" w:space="0" w:color="auto"/>
                    <w:right w:val="none" w:sz="0" w:space="0" w:color="auto"/>
                  </w:divBdr>
                  <w:divsChild>
                    <w:div w:id="2051681597">
                      <w:marLeft w:val="0"/>
                      <w:marRight w:val="0"/>
                      <w:marTop w:val="0"/>
                      <w:marBottom w:val="0"/>
                      <w:divBdr>
                        <w:top w:val="none" w:sz="0" w:space="0" w:color="auto"/>
                        <w:left w:val="none" w:sz="0" w:space="0" w:color="auto"/>
                        <w:bottom w:val="none" w:sz="0" w:space="0" w:color="auto"/>
                        <w:right w:val="none" w:sz="0" w:space="0" w:color="auto"/>
                      </w:divBdr>
                      <w:divsChild>
                        <w:div w:id="1684357304">
                          <w:marLeft w:val="0"/>
                          <w:marRight w:val="0"/>
                          <w:marTop w:val="0"/>
                          <w:marBottom w:val="150"/>
                          <w:divBdr>
                            <w:top w:val="none" w:sz="0" w:space="0" w:color="auto"/>
                            <w:left w:val="none" w:sz="0" w:space="0" w:color="auto"/>
                            <w:bottom w:val="none" w:sz="0" w:space="0" w:color="auto"/>
                            <w:right w:val="none" w:sz="0" w:space="0" w:color="auto"/>
                          </w:divBdr>
                          <w:divsChild>
                            <w:div w:id="1051882346">
                              <w:marLeft w:val="0"/>
                              <w:marRight w:val="0"/>
                              <w:marTop w:val="0"/>
                              <w:marBottom w:val="0"/>
                              <w:divBdr>
                                <w:top w:val="none" w:sz="0" w:space="0" w:color="auto"/>
                                <w:left w:val="none" w:sz="0" w:space="0" w:color="auto"/>
                                <w:bottom w:val="none" w:sz="0" w:space="0" w:color="auto"/>
                                <w:right w:val="none" w:sz="0" w:space="0" w:color="auto"/>
                              </w:divBdr>
                              <w:divsChild>
                                <w:div w:id="12265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509">
                          <w:marLeft w:val="0"/>
                          <w:marRight w:val="0"/>
                          <w:marTop w:val="0"/>
                          <w:marBottom w:val="300"/>
                          <w:divBdr>
                            <w:top w:val="none" w:sz="0" w:space="0" w:color="auto"/>
                            <w:left w:val="none" w:sz="0" w:space="0" w:color="auto"/>
                            <w:bottom w:val="none" w:sz="0" w:space="0" w:color="auto"/>
                            <w:right w:val="none" w:sz="0" w:space="0" w:color="auto"/>
                          </w:divBdr>
                          <w:divsChild>
                            <w:div w:id="1693215593">
                              <w:marLeft w:val="0"/>
                              <w:marRight w:val="0"/>
                              <w:marTop w:val="0"/>
                              <w:marBottom w:val="0"/>
                              <w:divBdr>
                                <w:top w:val="none" w:sz="0" w:space="0" w:color="auto"/>
                                <w:left w:val="none" w:sz="0" w:space="0" w:color="auto"/>
                                <w:bottom w:val="none" w:sz="0" w:space="0" w:color="auto"/>
                                <w:right w:val="none" w:sz="0" w:space="0" w:color="auto"/>
                              </w:divBdr>
                              <w:divsChild>
                                <w:div w:id="415833283">
                                  <w:marLeft w:val="0"/>
                                  <w:marRight w:val="0"/>
                                  <w:marTop w:val="0"/>
                                  <w:marBottom w:val="0"/>
                                  <w:divBdr>
                                    <w:top w:val="none" w:sz="0" w:space="0" w:color="auto"/>
                                    <w:left w:val="none" w:sz="0" w:space="0" w:color="auto"/>
                                    <w:bottom w:val="none" w:sz="0" w:space="0" w:color="auto"/>
                                    <w:right w:val="none" w:sz="0" w:space="0" w:color="auto"/>
                                  </w:divBdr>
                                  <w:divsChild>
                                    <w:div w:id="1561018994">
                                      <w:marLeft w:val="0"/>
                                      <w:marRight w:val="0"/>
                                      <w:marTop w:val="0"/>
                                      <w:marBottom w:val="0"/>
                                      <w:divBdr>
                                        <w:top w:val="none" w:sz="0" w:space="0" w:color="auto"/>
                                        <w:left w:val="none" w:sz="0" w:space="0" w:color="auto"/>
                                        <w:bottom w:val="none" w:sz="0" w:space="0" w:color="auto"/>
                                        <w:right w:val="none" w:sz="0" w:space="0" w:color="auto"/>
                                      </w:divBdr>
                                      <w:divsChild>
                                        <w:div w:id="967861701">
                                          <w:marLeft w:val="0"/>
                                          <w:marRight w:val="0"/>
                                          <w:marTop w:val="0"/>
                                          <w:marBottom w:val="0"/>
                                          <w:divBdr>
                                            <w:top w:val="none" w:sz="0" w:space="0" w:color="auto"/>
                                            <w:left w:val="none" w:sz="0" w:space="0" w:color="auto"/>
                                            <w:bottom w:val="none" w:sz="0" w:space="0" w:color="auto"/>
                                            <w:right w:val="none" w:sz="0" w:space="0" w:color="auto"/>
                                          </w:divBdr>
                                          <w:divsChild>
                                            <w:div w:id="337193605">
                                              <w:marLeft w:val="0"/>
                                              <w:marRight w:val="0"/>
                                              <w:marTop w:val="0"/>
                                              <w:marBottom w:val="0"/>
                                              <w:divBdr>
                                                <w:top w:val="none" w:sz="0" w:space="0" w:color="auto"/>
                                                <w:left w:val="none" w:sz="0" w:space="0" w:color="auto"/>
                                                <w:bottom w:val="none" w:sz="0" w:space="0" w:color="auto"/>
                                                <w:right w:val="none" w:sz="0" w:space="0" w:color="auto"/>
                                              </w:divBdr>
                                              <w:divsChild>
                                                <w:div w:id="20932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plomatie.belgium.be/nl/Beleid/economische_diplomatie/finex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Credendo Group</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Spreuwers</dc:creator>
  <cp:lastModifiedBy>Laurence de Barquin</cp:lastModifiedBy>
  <cp:revision>2</cp:revision>
  <dcterms:created xsi:type="dcterms:W3CDTF">2021-03-22T13:19:00Z</dcterms:created>
  <dcterms:modified xsi:type="dcterms:W3CDTF">2021-03-22T13:19:00Z</dcterms:modified>
</cp:coreProperties>
</file>