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38" w:rsidRPr="00E134CF" w:rsidRDefault="00F95B38" w:rsidP="00F95B38">
      <w:pPr>
        <w:spacing w:after="120" w:line="293" w:lineRule="atLeast"/>
        <w:outlineLvl w:val="1"/>
        <w:rPr>
          <w:rFonts w:eastAsia="Times New Roman" w:cs="Arial"/>
          <w:b/>
          <w:bCs/>
          <w:color w:val="E3681F" w:themeColor="text2"/>
          <w:kern w:val="36"/>
          <w:szCs w:val="20"/>
          <w:lang w:val="fr-FR" w:eastAsia="en-GB"/>
        </w:rPr>
      </w:pPr>
      <w:bookmarkStart w:id="0" w:name="_GoBack"/>
      <w:bookmarkEnd w:id="0"/>
      <w:r w:rsidRPr="00E134CF">
        <w:rPr>
          <w:rFonts w:eastAsia="Times New Roman" w:cs="Arial"/>
          <w:b/>
          <w:bCs/>
          <w:color w:val="E3681F" w:themeColor="text2"/>
          <w:kern w:val="36"/>
          <w:szCs w:val="20"/>
          <w:lang w:val="fr-FR" w:eastAsia="en-GB"/>
        </w:rPr>
        <w:t>Financement des exportations (Finexpo)</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Finexpo est un comité interministériel d’avis qui est géré par la Direction de l’aide financière à l’exportation (B2) au sein du Service Public Fédéral Affaires étrangères, Commerce extérieur et Coopération au Développement et par l’Administration des Questions financières internationales et européennes du Service Public Fédéral Finances.</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Le nom Finexpo est une combinaison de deux mots-clés : financement et exportations. Finexpo a pour objectif de soutenir l’exportation de biens d’équipement belges et de services afférents.</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Finexpo tend à promouvoir l’image et la réputation des entreprises belges à l’étranger, à concilier le libre-échange avec la nécessité de préserver la compétitivité de ses exportateurs tout en contribuant au développement économique et social du pays bénéficiaire.</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Tous les avis et décisions de Finexpo sont pris dans le respect de l’Arrangement de l’Organisation de Coopération et de Développement Economiques (OCDE) sur les crédits à l’exportation bénéficiant d’un soutien public, les mesures OCDE anticorruption et les crédits à l’exportation et la recommandation du Comité d’aide au développement (CAD) sur le déliement de l’aide.</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L’action de Finexpo se concentre sur les conditions de financement pour les crédits accordés pour la fourniture d’équipement et de services.</w:t>
      </w:r>
    </w:p>
    <w:p w:rsidR="00F95B38" w:rsidRPr="00F95B38" w:rsidRDefault="00F95B38" w:rsidP="00F95B38">
      <w:pPr>
        <w:spacing w:before="100" w:beforeAutospacing="1" w:after="100" w:afterAutospacing="1" w:line="293" w:lineRule="atLeast"/>
        <w:jc w:val="both"/>
        <w:rPr>
          <w:rFonts w:eastAsia="Times New Roman" w:cs="Arial"/>
          <w:color w:val="32312E"/>
          <w:szCs w:val="20"/>
          <w:lang w:val="fr-FR" w:eastAsia="en-GB"/>
        </w:rPr>
      </w:pPr>
      <w:r w:rsidRPr="00F95B38">
        <w:rPr>
          <w:rFonts w:eastAsia="Times New Roman" w:cs="Arial"/>
          <w:color w:val="32312E"/>
          <w:szCs w:val="20"/>
          <w:lang w:val="fr-FR" w:eastAsia="en-GB"/>
        </w:rPr>
        <w:t>Finexpo possède deux types d’instruments : un instrument commercial et plusieurs instruments concessionnels. Le choix d’un instrument est déterminé par la nature du projet, le pays envisagé pour les exportations et les préférences de l’exportateur ou de la banque concerné(e).</w:t>
      </w:r>
    </w:p>
    <w:p w:rsidR="006F3C69" w:rsidRPr="00F95B38" w:rsidRDefault="006F3C69">
      <w:pPr>
        <w:rPr>
          <w:lang w:val="fr-FR"/>
        </w:rPr>
      </w:pPr>
    </w:p>
    <w:p w:rsidR="00F95B38" w:rsidRPr="00F95B38" w:rsidRDefault="00F95B38">
      <w:pPr>
        <w:rPr>
          <w:lang w:val="fr-FR"/>
        </w:rPr>
      </w:pPr>
    </w:p>
    <w:p w:rsidR="00F95B38" w:rsidRPr="00F95B38" w:rsidRDefault="00422BE8">
      <w:pPr>
        <w:rPr>
          <w:b/>
          <w:lang w:val="fr-FR"/>
        </w:rPr>
      </w:pPr>
      <w:r>
        <w:rPr>
          <w:b/>
          <w:lang w:val="fr-FR"/>
        </w:rPr>
        <w:t>P</w:t>
      </w:r>
      <w:r w:rsidRPr="00F95B38">
        <w:rPr>
          <w:b/>
          <w:lang w:val="fr-FR"/>
        </w:rPr>
        <w:t>lus d’info</w:t>
      </w:r>
      <w:r>
        <w:rPr>
          <w:b/>
          <w:lang w:val="fr-FR"/>
        </w:rPr>
        <w:t>rmation sur Finexpo et s</w:t>
      </w:r>
      <w:r w:rsidRPr="00F95B38">
        <w:rPr>
          <w:b/>
          <w:lang w:val="fr-FR"/>
        </w:rPr>
        <w:t>e</w:t>
      </w:r>
      <w:r>
        <w:rPr>
          <w:b/>
          <w:lang w:val="fr-FR"/>
        </w:rPr>
        <w:t>s</w:t>
      </w:r>
      <w:r w:rsidR="005E2D0F">
        <w:rPr>
          <w:b/>
          <w:lang w:val="fr-FR"/>
        </w:rPr>
        <w:t xml:space="preserve"> produits peut être</w:t>
      </w:r>
      <w:r w:rsidR="00F95B38" w:rsidRPr="00F95B38">
        <w:rPr>
          <w:b/>
          <w:lang w:val="fr-FR"/>
        </w:rPr>
        <w:t xml:space="preserve"> </w:t>
      </w:r>
      <w:r w:rsidR="005E2D0F">
        <w:rPr>
          <w:b/>
          <w:lang w:val="fr-FR"/>
        </w:rPr>
        <w:t>trouvée sur leur site</w:t>
      </w:r>
      <w:r w:rsidR="00275D86">
        <w:rPr>
          <w:b/>
          <w:lang w:val="fr-FR"/>
        </w:rPr>
        <w:t xml:space="preserve"> via le lien</w:t>
      </w:r>
      <w:r w:rsidR="005E2D0F">
        <w:rPr>
          <w:b/>
          <w:lang w:val="fr-FR"/>
        </w:rPr>
        <w:t>:</w:t>
      </w:r>
    </w:p>
    <w:p w:rsidR="00F95B38" w:rsidRPr="00F95B38" w:rsidRDefault="00F95B38">
      <w:pPr>
        <w:rPr>
          <w:b/>
          <w:lang w:val="fr-FR"/>
        </w:rPr>
      </w:pPr>
    </w:p>
    <w:p w:rsidR="00F95B38" w:rsidRPr="00F95B38" w:rsidRDefault="006C5CB3" w:rsidP="00F95B38">
      <w:pPr>
        <w:jc w:val="center"/>
        <w:rPr>
          <w:b/>
          <w:lang w:val="fr-FR"/>
        </w:rPr>
      </w:pPr>
      <w:hyperlink r:id="rId5" w:history="1">
        <w:r w:rsidR="00F95B38" w:rsidRPr="00F95B38">
          <w:rPr>
            <w:rStyle w:val="Hyperlink"/>
            <w:b/>
            <w:lang w:val="fr-FR"/>
          </w:rPr>
          <w:t>https://diplomatie.belgium.be/fr/politique/diplomatie_economique/finexpo</w:t>
        </w:r>
      </w:hyperlink>
    </w:p>
    <w:sectPr w:rsidR="00F95B38" w:rsidRPr="00F95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38"/>
    <w:rsid w:val="0001372C"/>
    <w:rsid w:val="00046D07"/>
    <w:rsid w:val="00275D86"/>
    <w:rsid w:val="00422BE8"/>
    <w:rsid w:val="005E2D0F"/>
    <w:rsid w:val="006C5CB3"/>
    <w:rsid w:val="006F3C69"/>
    <w:rsid w:val="00E134CF"/>
    <w:rsid w:val="00F95B38"/>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41F7-92C1-46AA-98CE-7DF25D81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paragraph" w:styleId="NormalWeb">
    <w:name w:val="Normal (Web)"/>
    <w:basedOn w:val="Normal"/>
    <w:uiPriority w:val="99"/>
    <w:semiHidden/>
    <w:unhideWhenUsed/>
    <w:rsid w:val="00F95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5B38"/>
    <w:rPr>
      <w:color w:val="6856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4633">
      <w:bodyDiv w:val="1"/>
      <w:marLeft w:val="0"/>
      <w:marRight w:val="0"/>
      <w:marTop w:val="0"/>
      <w:marBottom w:val="0"/>
      <w:divBdr>
        <w:top w:val="none" w:sz="0" w:space="0" w:color="auto"/>
        <w:left w:val="none" w:sz="0" w:space="0" w:color="auto"/>
        <w:bottom w:val="none" w:sz="0" w:space="0" w:color="auto"/>
        <w:right w:val="none" w:sz="0" w:space="0" w:color="auto"/>
      </w:divBdr>
      <w:divsChild>
        <w:div w:id="1051421889">
          <w:marLeft w:val="0"/>
          <w:marRight w:val="0"/>
          <w:marTop w:val="0"/>
          <w:marBottom w:val="0"/>
          <w:divBdr>
            <w:top w:val="none" w:sz="0" w:space="0" w:color="auto"/>
            <w:left w:val="none" w:sz="0" w:space="0" w:color="auto"/>
            <w:bottom w:val="none" w:sz="0" w:space="0" w:color="auto"/>
            <w:right w:val="none" w:sz="0" w:space="0" w:color="auto"/>
          </w:divBdr>
          <w:divsChild>
            <w:div w:id="1046219745">
              <w:marLeft w:val="0"/>
              <w:marRight w:val="0"/>
              <w:marTop w:val="0"/>
              <w:marBottom w:val="0"/>
              <w:divBdr>
                <w:top w:val="none" w:sz="0" w:space="0" w:color="auto"/>
                <w:left w:val="none" w:sz="0" w:space="0" w:color="auto"/>
                <w:bottom w:val="none" w:sz="0" w:space="0" w:color="auto"/>
                <w:right w:val="none" w:sz="0" w:space="0" w:color="auto"/>
              </w:divBdr>
              <w:divsChild>
                <w:div w:id="372269731">
                  <w:marLeft w:val="0"/>
                  <w:marRight w:val="0"/>
                  <w:marTop w:val="0"/>
                  <w:marBottom w:val="0"/>
                  <w:divBdr>
                    <w:top w:val="none" w:sz="0" w:space="0" w:color="auto"/>
                    <w:left w:val="none" w:sz="0" w:space="0" w:color="auto"/>
                    <w:bottom w:val="none" w:sz="0" w:space="0" w:color="auto"/>
                    <w:right w:val="none" w:sz="0" w:space="0" w:color="auto"/>
                  </w:divBdr>
                  <w:divsChild>
                    <w:div w:id="1943494313">
                      <w:marLeft w:val="0"/>
                      <w:marRight w:val="0"/>
                      <w:marTop w:val="0"/>
                      <w:marBottom w:val="0"/>
                      <w:divBdr>
                        <w:top w:val="none" w:sz="0" w:space="0" w:color="auto"/>
                        <w:left w:val="none" w:sz="0" w:space="0" w:color="auto"/>
                        <w:bottom w:val="none" w:sz="0" w:space="0" w:color="auto"/>
                        <w:right w:val="none" w:sz="0" w:space="0" w:color="auto"/>
                      </w:divBdr>
                      <w:divsChild>
                        <w:div w:id="1478492513">
                          <w:marLeft w:val="0"/>
                          <w:marRight w:val="0"/>
                          <w:marTop w:val="0"/>
                          <w:marBottom w:val="150"/>
                          <w:divBdr>
                            <w:top w:val="none" w:sz="0" w:space="0" w:color="auto"/>
                            <w:left w:val="none" w:sz="0" w:space="0" w:color="auto"/>
                            <w:bottom w:val="none" w:sz="0" w:space="0" w:color="auto"/>
                            <w:right w:val="none" w:sz="0" w:space="0" w:color="auto"/>
                          </w:divBdr>
                          <w:divsChild>
                            <w:div w:id="905991783">
                              <w:marLeft w:val="0"/>
                              <w:marRight w:val="0"/>
                              <w:marTop w:val="0"/>
                              <w:marBottom w:val="0"/>
                              <w:divBdr>
                                <w:top w:val="none" w:sz="0" w:space="0" w:color="auto"/>
                                <w:left w:val="none" w:sz="0" w:space="0" w:color="auto"/>
                                <w:bottom w:val="none" w:sz="0" w:space="0" w:color="auto"/>
                                <w:right w:val="none" w:sz="0" w:space="0" w:color="auto"/>
                              </w:divBdr>
                              <w:divsChild>
                                <w:div w:id="10836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2880">
                          <w:marLeft w:val="0"/>
                          <w:marRight w:val="0"/>
                          <w:marTop w:val="0"/>
                          <w:marBottom w:val="300"/>
                          <w:divBdr>
                            <w:top w:val="none" w:sz="0" w:space="0" w:color="auto"/>
                            <w:left w:val="none" w:sz="0" w:space="0" w:color="auto"/>
                            <w:bottom w:val="none" w:sz="0" w:space="0" w:color="auto"/>
                            <w:right w:val="none" w:sz="0" w:space="0" w:color="auto"/>
                          </w:divBdr>
                          <w:divsChild>
                            <w:div w:id="1665937430">
                              <w:marLeft w:val="0"/>
                              <w:marRight w:val="0"/>
                              <w:marTop w:val="0"/>
                              <w:marBottom w:val="0"/>
                              <w:divBdr>
                                <w:top w:val="none" w:sz="0" w:space="0" w:color="auto"/>
                                <w:left w:val="none" w:sz="0" w:space="0" w:color="auto"/>
                                <w:bottom w:val="none" w:sz="0" w:space="0" w:color="auto"/>
                                <w:right w:val="none" w:sz="0" w:space="0" w:color="auto"/>
                              </w:divBdr>
                              <w:divsChild>
                                <w:div w:id="1579829562">
                                  <w:marLeft w:val="0"/>
                                  <w:marRight w:val="0"/>
                                  <w:marTop w:val="0"/>
                                  <w:marBottom w:val="0"/>
                                  <w:divBdr>
                                    <w:top w:val="none" w:sz="0" w:space="0" w:color="auto"/>
                                    <w:left w:val="none" w:sz="0" w:space="0" w:color="auto"/>
                                    <w:bottom w:val="none" w:sz="0" w:space="0" w:color="auto"/>
                                    <w:right w:val="none" w:sz="0" w:space="0" w:color="auto"/>
                                  </w:divBdr>
                                  <w:divsChild>
                                    <w:div w:id="38281904">
                                      <w:marLeft w:val="0"/>
                                      <w:marRight w:val="0"/>
                                      <w:marTop w:val="0"/>
                                      <w:marBottom w:val="0"/>
                                      <w:divBdr>
                                        <w:top w:val="none" w:sz="0" w:space="0" w:color="auto"/>
                                        <w:left w:val="none" w:sz="0" w:space="0" w:color="auto"/>
                                        <w:bottom w:val="none" w:sz="0" w:space="0" w:color="auto"/>
                                        <w:right w:val="none" w:sz="0" w:space="0" w:color="auto"/>
                                      </w:divBdr>
                                      <w:divsChild>
                                        <w:div w:id="1660886678">
                                          <w:marLeft w:val="0"/>
                                          <w:marRight w:val="0"/>
                                          <w:marTop w:val="0"/>
                                          <w:marBottom w:val="0"/>
                                          <w:divBdr>
                                            <w:top w:val="none" w:sz="0" w:space="0" w:color="auto"/>
                                            <w:left w:val="none" w:sz="0" w:space="0" w:color="auto"/>
                                            <w:bottom w:val="none" w:sz="0" w:space="0" w:color="auto"/>
                                            <w:right w:val="none" w:sz="0" w:space="0" w:color="auto"/>
                                          </w:divBdr>
                                          <w:divsChild>
                                            <w:div w:id="739601518">
                                              <w:marLeft w:val="0"/>
                                              <w:marRight w:val="0"/>
                                              <w:marTop w:val="0"/>
                                              <w:marBottom w:val="0"/>
                                              <w:divBdr>
                                                <w:top w:val="none" w:sz="0" w:space="0" w:color="auto"/>
                                                <w:left w:val="none" w:sz="0" w:space="0" w:color="auto"/>
                                                <w:bottom w:val="none" w:sz="0" w:space="0" w:color="auto"/>
                                                <w:right w:val="none" w:sz="0" w:space="0" w:color="auto"/>
                                              </w:divBdr>
                                              <w:divsChild>
                                                <w:div w:id="18552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plomatie.belgium.be/fr/politique/diplomatie_economique/finex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Credendo Group</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Spreuwers</dc:creator>
  <cp:lastModifiedBy>Laurence de Barquin</cp:lastModifiedBy>
  <cp:revision>2</cp:revision>
  <dcterms:created xsi:type="dcterms:W3CDTF">2021-03-22T13:22:00Z</dcterms:created>
  <dcterms:modified xsi:type="dcterms:W3CDTF">2021-03-22T13:22:00Z</dcterms:modified>
</cp:coreProperties>
</file>