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B38" w:rsidRPr="00E134CF" w:rsidRDefault="00F95B38" w:rsidP="00F95B38">
      <w:pPr>
        <w:spacing w:after="120" w:line="293" w:lineRule="atLeast"/>
        <w:outlineLvl w:val="1"/>
        <w:rPr>
          <w:rFonts w:eastAsia="Times New Roman" w:cs="Arial"/>
          <w:b/>
          <w:bCs/>
          <w:color w:val="E3681F" w:themeColor="text2"/>
          <w:kern w:val="36"/>
          <w:szCs w:val="20"/>
          <w:lang w:val="fr-FR" w:eastAsia="en-GB"/>
        </w:rPr>
      </w:pPr>
      <w:bookmarkStart w:id="0" w:name="_GoBack"/>
      <w:bookmarkEnd w:id="0"/>
      <w:r w:rsidRPr="00E134CF">
        <w:rPr>
          <w:rFonts w:eastAsia="Times New Roman" w:cs="Arial"/>
          <w:b/>
          <w:bCs/>
          <w:color w:val="E3681F" w:themeColor="text2"/>
          <w:kern w:val="36"/>
          <w:szCs w:val="20"/>
          <w:lang w:val="fr-FR" w:eastAsia="en-GB"/>
        </w:rPr>
        <w:t>Financement des exportations (Finexpo)</w:t>
      </w:r>
    </w:p>
    <w:p w:rsidR="00F95B38" w:rsidRPr="00F95B38" w:rsidRDefault="00F95B38" w:rsidP="00F95B38">
      <w:pPr>
        <w:spacing w:before="100" w:beforeAutospacing="1" w:after="100" w:afterAutospacing="1" w:line="293" w:lineRule="atLeast"/>
        <w:jc w:val="both"/>
        <w:rPr>
          <w:rFonts w:eastAsia="Times New Roman" w:cs="Arial"/>
          <w:color w:val="32312E"/>
          <w:szCs w:val="20"/>
          <w:lang w:val="fr-FR" w:eastAsia="en-GB"/>
        </w:rPr>
      </w:pPr>
      <w:r w:rsidRPr="00F95B38">
        <w:rPr>
          <w:rFonts w:eastAsia="Times New Roman" w:cs="Arial"/>
          <w:color w:val="32312E"/>
          <w:szCs w:val="20"/>
          <w:lang w:val="fr-FR" w:eastAsia="en-GB"/>
        </w:rPr>
        <w:t>Finexpo est un comité interministériel d’avis qui est géré par la Direction de l’aide financière à l’exportation (B2) au sein du Service Public Fédéral Affaires étrangères, Commerce extérieur et Coopération au Développement et par l’Administration des Questions financières internationales et européennes du Service Public Fédéral Finances.</w:t>
      </w:r>
    </w:p>
    <w:p w:rsidR="00F95B38" w:rsidRPr="00F95B38" w:rsidRDefault="00F95B38" w:rsidP="00F95B38">
      <w:pPr>
        <w:spacing w:before="100" w:beforeAutospacing="1" w:after="100" w:afterAutospacing="1" w:line="293" w:lineRule="atLeast"/>
        <w:jc w:val="both"/>
        <w:rPr>
          <w:rFonts w:eastAsia="Times New Roman" w:cs="Arial"/>
          <w:color w:val="32312E"/>
          <w:szCs w:val="20"/>
          <w:lang w:val="fr-FR" w:eastAsia="en-GB"/>
        </w:rPr>
      </w:pPr>
      <w:r w:rsidRPr="00F95B38">
        <w:rPr>
          <w:rFonts w:eastAsia="Times New Roman" w:cs="Arial"/>
          <w:color w:val="32312E"/>
          <w:szCs w:val="20"/>
          <w:lang w:val="fr-FR" w:eastAsia="en-GB"/>
        </w:rPr>
        <w:t>Le nom Finexpo est une combinaison de deux mots-clés : financement et exportations. Finexpo a pour objectif de soutenir l’exportation de biens d’équipement belges et de services afférents.</w:t>
      </w:r>
    </w:p>
    <w:p w:rsidR="00F95B38" w:rsidRPr="00F95B38" w:rsidRDefault="00F95B38" w:rsidP="00F95B38">
      <w:pPr>
        <w:spacing w:before="100" w:beforeAutospacing="1" w:after="100" w:afterAutospacing="1" w:line="293" w:lineRule="atLeast"/>
        <w:jc w:val="both"/>
        <w:rPr>
          <w:rFonts w:eastAsia="Times New Roman" w:cs="Arial"/>
          <w:color w:val="32312E"/>
          <w:szCs w:val="20"/>
          <w:lang w:val="fr-FR" w:eastAsia="en-GB"/>
        </w:rPr>
      </w:pPr>
      <w:r w:rsidRPr="00F95B38">
        <w:rPr>
          <w:rFonts w:eastAsia="Times New Roman" w:cs="Arial"/>
          <w:color w:val="32312E"/>
          <w:szCs w:val="20"/>
          <w:lang w:val="fr-FR" w:eastAsia="en-GB"/>
        </w:rPr>
        <w:t>Finexpo tend à promouvoir l’image et la réputation des entreprises belges à l’étranger, à concilier le libre-échange avec la nécessité de préserver la compétitivité de ses exportateurs tout en contribuant au développement économique et social du pays bénéficiaire.</w:t>
      </w:r>
    </w:p>
    <w:p w:rsidR="00F95B38" w:rsidRPr="00F95B38" w:rsidRDefault="00F95B38" w:rsidP="00F95B38">
      <w:pPr>
        <w:spacing w:before="100" w:beforeAutospacing="1" w:after="100" w:afterAutospacing="1" w:line="293" w:lineRule="atLeast"/>
        <w:jc w:val="both"/>
        <w:rPr>
          <w:rFonts w:eastAsia="Times New Roman" w:cs="Arial"/>
          <w:color w:val="32312E"/>
          <w:szCs w:val="20"/>
          <w:lang w:val="fr-FR" w:eastAsia="en-GB"/>
        </w:rPr>
      </w:pPr>
      <w:r w:rsidRPr="00F95B38">
        <w:rPr>
          <w:rFonts w:eastAsia="Times New Roman" w:cs="Arial"/>
          <w:color w:val="32312E"/>
          <w:szCs w:val="20"/>
          <w:lang w:val="fr-FR" w:eastAsia="en-GB"/>
        </w:rPr>
        <w:t>Tous les avis et décisions de Finexpo sont pris dans le respect de l’Arrangement de l’Organisation de Coopération et de Développement Economiques (OCDE) sur les crédits à l’exportation bénéficiant d’un soutien public, les mesures OCDE anticorruption et les crédits à l’exportation et la recommandation du Comité d’aide au développement (CAD) sur le déliement de l’aide.</w:t>
      </w:r>
    </w:p>
    <w:p w:rsidR="00F95B38" w:rsidRPr="00F95B38" w:rsidRDefault="00F95B38" w:rsidP="00F95B38">
      <w:pPr>
        <w:spacing w:before="100" w:beforeAutospacing="1" w:after="100" w:afterAutospacing="1" w:line="293" w:lineRule="atLeast"/>
        <w:jc w:val="both"/>
        <w:rPr>
          <w:rFonts w:eastAsia="Times New Roman" w:cs="Arial"/>
          <w:color w:val="32312E"/>
          <w:szCs w:val="20"/>
          <w:lang w:val="fr-FR" w:eastAsia="en-GB"/>
        </w:rPr>
      </w:pPr>
      <w:r w:rsidRPr="00F95B38">
        <w:rPr>
          <w:rFonts w:eastAsia="Times New Roman" w:cs="Arial"/>
          <w:color w:val="32312E"/>
          <w:szCs w:val="20"/>
          <w:lang w:val="fr-FR" w:eastAsia="en-GB"/>
        </w:rPr>
        <w:t>L’action de Finexpo se concentre sur les conditions de financement pour les crédits accordés pour la fourniture d’équipement et de services.</w:t>
      </w:r>
    </w:p>
    <w:p w:rsidR="00F95B38" w:rsidRPr="00F95B38" w:rsidRDefault="00F95B38" w:rsidP="00F95B38">
      <w:pPr>
        <w:spacing w:before="100" w:beforeAutospacing="1" w:after="100" w:afterAutospacing="1" w:line="293" w:lineRule="atLeast"/>
        <w:jc w:val="both"/>
        <w:rPr>
          <w:rFonts w:eastAsia="Times New Roman" w:cs="Arial"/>
          <w:color w:val="32312E"/>
          <w:szCs w:val="20"/>
          <w:lang w:val="fr-FR" w:eastAsia="en-GB"/>
        </w:rPr>
      </w:pPr>
      <w:r w:rsidRPr="00F95B38">
        <w:rPr>
          <w:rFonts w:eastAsia="Times New Roman" w:cs="Arial"/>
          <w:color w:val="32312E"/>
          <w:szCs w:val="20"/>
          <w:lang w:val="fr-FR" w:eastAsia="en-GB"/>
        </w:rPr>
        <w:t>Finexpo possède deux types d’instruments : un instrument commercial et plusieurs instruments concessionnels. Le choix d’un instrument est déterminé par la nature du projet, le pays envisagé pour les exportations et les préférences de l’exportateur ou de la banque concerné(e).</w:t>
      </w:r>
    </w:p>
    <w:p w:rsidR="006F3C69" w:rsidRPr="00F95B38" w:rsidRDefault="006F3C69">
      <w:pPr>
        <w:rPr>
          <w:lang w:val="fr-FR"/>
        </w:rPr>
      </w:pPr>
    </w:p>
    <w:p w:rsidR="00F95B38" w:rsidRPr="00F95B38" w:rsidRDefault="00F95B38">
      <w:pPr>
        <w:rPr>
          <w:lang w:val="fr-FR"/>
        </w:rPr>
      </w:pPr>
    </w:p>
    <w:p w:rsidR="00F95B38" w:rsidRPr="00F95B38" w:rsidRDefault="00422BE8">
      <w:pPr>
        <w:rPr>
          <w:b/>
          <w:lang w:val="fr-FR"/>
        </w:rPr>
      </w:pPr>
      <w:r>
        <w:rPr>
          <w:b/>
          <w:lang w:val="fr-FR"/>
        </w:rPr>
        <w:t>P</w:t>
      </w:r>
      <w:r w:rsidRPr="00F95B38">
        <w:rPr>
          <w:b/>
          <w:lang w:val="fr-FR"/>
        </w:rPr>
        <w:t>lus d’info</w:t>
      </w:r>
      <w:r>
        <w:rPr>
          <w:b/>
          <w:lang w:val="fr-FR"/>
        </w:rPr>
        <w:t>rmation sur Finexpo et s</w:t>
      </w:r>
      <w:r w:rsidRPr="00F95B38">
        <w:rPr>
          <w:b/>
          <w:lang w:val="fr-FR"/>
        </w:rPr>
        <w:t>e</w:t>
      </w:r>
      <w:r>
        <w:rPr>
          <w:b/>
          <w:lang w:val="fr-FR"/>
        </w:rPr>
        <w:t>s</w:t>
      </w:r>
      <w:r w:rsidR="005E2D0F">
        <w:rPr>
          <w:b/>
          <w:lang w:val="fr-FR"/>
        </w:rPr>
        <w:t xml:space="preserve"> produits peut être</w:t>
      </w:r>
      <w:r w:rsidR="00F95B38" w:rsidRPr="00F95B38">
        <w:rPr>
          <w:b/>
          <w:lang w:val="fr-FR"/>
        </w:rPr>
        <w:t xml:space="preserve"> </w:t>
      </w:r>
      <w:r w:rsidR="005E2D0F">
        <w:rPr>
          <w:b/>
          <w:lang w:val="fr-FR"/>
        </w:rPr>
        <w:t>trouvée sur leur site</w:t>
      </w:r>
      <w:r w:rsidR="00275D86">
        <w:rPr>
          <w:b/>
          <w:lang w:val="fr-FR"/>
        </w:rPr>
        <w:t xml:space="preserve"> via le lien</w:t>
      </w:r>
      <w:r w:rsidR="005E2D0F">
        <w:rPr>
          <w:b/>
          <w:lang w:val="fr-FR"/>
        </w:rPr>
        <w:t>:</w:t>
      </w:r>
    </w:p>
    <w:p w:rsidR="00F95B38" w:rsidRPr="00F95B38" w:rsidRDefault="00F95B38">
      <w:pPr>
        <w:rPr>
          <w:b/>
          <w:lang w:val="fr-FR"/>
        </w:rPr>
      </w:pPr>
    </w:p>
    <w:p w:rsidR="00F95B38" w:rsidRPr="00F95B38" w:rsidRDefault="00770676" w:rsidP="00F95B38">
      <w:pPr>
        <w:jc w:val="center"/>
        <w:rPr>
          <w:b/>
          <w:lang w:val="fr-FR"/>
        </w:rPr>
      </w:pPr>
      <w:hyperlink r:id="rId5" w:history="1">
        <w:r w:rsidR="00F95B38" w:rsidRPr="00F95B38">
          <w:rPr>
            <w:rStyle w:val="Hyperlink"/>
            <w:b/>
            <w:lang w:val="fr-FR"/>
          </w:rPr>
          <w:t>https://diplomatie.belgium.be/fr/politique/diplomatie_economique/finexpo</w:t>
        </w:r>
      </w:hyperlink>
    </w:p>
    <w:sectPr w:rsidR="00F95B38" w:rsidRPr="00F95B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4631"/>
    <w:multiLevelType w:val="multilevel"/>
    <w:tmpl w:val="074A1BC2"/>
    <w:lvl w:ilvl="0">
      <w:start w:val="1"/>
      <w:numFmt w:val="decimal"/>
      <w:pStyle w:val="Numberedbulletlevel1"/>
      <w:lvlText w:val="%1."/>
      <w:lvlJc w:val="left"/>
      <w:pPr>
        <w:tabs>
          <w:tab w:val="num" w:pos="284"/>
        </w:tabs>
        <w:ind w:left="284" w:hanging="284"/>
      </w:pPr>
      <w:rPr>
        <w:rFonts w:ascii="Arial" w:hAnsi="Arial" w:hint="default"/>
        <w:sz w:val="20"/>
      </w:rPr>
    </w:lvl>
    <w:lvl w:ilvl="1">
      <w:start w:val="1"/>
      <w:numFmt w:val="decimal"/>
      <w:pStyle w:val="Numberedbulletlevel2"/>
      <w:lvlText w:val="%1.%2."/>
      <w:lvlJc w:val="left"/>
      <w:pPr>
        <w:tabs>
          <w:tab w:val="num" w:pos="397"/>
        </w:tabs>
        <w:ind w:left="397" w:hanging="397"/>
      </w:pPr>
      <w:rPr>
        <w:rFonts w:hint="default"/>
      </w:rPr>
    </w:lvl>
    <w:lvl w:ilvl="2">
      <w:start w:val="1"/>
      <w:numFmt w:val="decimal"/>
      <w:pStyle w:val="Numberedbulletlevel3"/>
      <w:lvlText w:val="%1.%2.%3."/>
      <w:lvlJc w:val="left"/>
      <w:pPr>
        <w:tabs>
          <w:tab w:val="num" w:pos="510"/>
        </w:tabs>
        <w:ind w:left="510" w:hanging="510"/>
      </w:pPr>
      <w:rPr>
        <w:rFonts w:hint="default"/>
      </w:rPr>
    </w:lvl>
    <w:lvl w:ilvl="3">
      <w:start w:val="1"/>
      <w:numFmt w:val="decimal"/>
      <w:lvlText w:val="%1.%2.%3.%4."/>
      <w:lvlJc w:val="left"/>
      <w:pPr>
        <w:tabs>
          <w:tab w:val="num" w:pos="284"/>
        </w:tabs>
        <w:ind w:left="284" w:hanging="284"/>
      </w:pPr>
      <w:rPr>
        <w:rFonts w:hint="default"/>
      </w:rPr>
    </w:lvl>
    <w:lvl w:ilvl="4">
      <w:start w:val="1"/>
      <w:numFmt w:val="decimal"/>
      <w:lvlText w:val="%1.%2.%3.%4.%5."/>
      <w:lvlJc w:val="left"/>
      <w:pPr>
        <w:tabs>
          <w:tab w:val="num" w:pos="284"/>
        </w:tabs>
        <w:ind w:left="284" w:hanging="284"/>
      </w:pPr>
      <w:rPr>
        <w:rFonts w:hint="default"/>
      </w:rPr>
    </w:lvl>
    <w:lvl w:ilvl="5">
      <w:start w:val="1"/>
      <w:numFmt w:val="decimal"/>
      <w:lvlText w:val="%1.%2.%3.%4.%5.%6."/>
      <w:lvlJc w:val="left"/>
      <w:pPr>
        <w:tabs>
          <w:tab w:val="num" w:pos="284"/>
        </w:tabs>
        <w:ind w:left="284" w:hanging="284"/>
      </w:pPr>
      <w:rPr>
        <w:rFonts w:hint="default"/>
      </w:rPr>
    </w:lvl>
    <w:lvl w:ilvl="6">
      <w:start w:val="1"/>
      <w:numFmt w:val="decimal"/>
      <w:lvlText w:val="%1.%2.%3.%4.%5.%6.%7."/>
      <w:lvlJc w:val="left"/>
      <w:pPr>
        <w:tabs>
          <w:tab w:val="num" w:pos="284"/>
        </w:tabs>
        <w:ind w:left="284" w:hanging="284"/>
      </w:pPr>
      <w:rPr>
        <w:rFonts w:hint="default"/>
      </w:rPr>
    </w:lvl>
    <w:lvl w:ilvl="7">
      <w:start w:val="1"/>
      <w:numFmt w:val="decimal"/>
      <w:lvlText w:val="%1.%2.%3.%4.%5.%6.%7.%8."/>
      <w:lvlJc w:val="left"/>
      <w:pPr>
        <w:tabs>
          <w:tab w:val="num" w:pos="284"/>
        </w:tabs>
        <w:ind w:left="284" w:hanging="284"/>
      </w:pPr>
      <w:rPr>
        <w:rFonts w:hint="default"/>
      </w:rPr>
    </w:lvl>
    <w:lvl w:ilvl="8">
      <w:start w:val="1"/>
      <w:numFmt w:val="decimal"/>
      <w:lvlText w:val="%1.%2.%3.%4.%5.%6.%7.%8.%9."/>
      <w:lvlJc w:val="left"/>
      <w:pPr>
        <w:tabs>
          <w:tab w:val="num" w:pos="284"/>
        </w:tabs>
        <w:ind w:left="284" w:hanging="284"/>
      </w:pPr>
      <w:rPr>
        <w:rFonts w:hint="default"/>
      </w:rPr>
    </w:lvl>
  </w:abstractNum>
  <w:abstractNum w:abstractNumId="1" w15:restartNumberingAfterBreak="0">
    <w:nsid w:val="3C4B4F14"/>
    <w:multiLevelType w:val="multilevel"/>
    <w:tmpl w:val="8DF44184"/>
    <w:lvl w:ilvl="0">
      <w:start w:val="1"/>
      <w:numFmt w:val="bullet"/>
      <w:pStyle w:val="Bulletlevel1"/>
      <w:lvlText w:val="&gt;"/>
      <w:lvlJc w:val="left"/>
      <w:pPr>
        <w:tabs>
          <w:tab w:val="num" w:pos="284"/>
        </w:tabs>
        <w:ind w:left="284" w:hanging="284"/>
      </w:pPr>
      <w:rPr>
        <w:rFonts w:ascii="Arial" w:hAnsi="Arial" w:hint="default"/>
        <w:b/>
        <w:color w:val="EA5329"/>
        <w:sz w:val="20"/>
      </w:rPr>
    </w:lvl>
    <w:lvl w:ilvl="1">
      <w:start w:val="1"/>
      <w:numFmt w:val="bullet"/>
      <w:pStyle w:val="Bulletlevel2"/>
      <w:lvlText w:val="–"/>
      <w:lvlJc w:val="left"/>
      <w:pPr>
        <w:tabs>
          <w:tab w:val="num" w:pos="568"/>
        </w:tabs>
        <w:ind w:left="568" w:hanging="284"/>
      </w:pPr>
      <w:rPr>
        <w:rFonts w:ascii="Arial" w:hAnsi="Arial" w:hint="default"/>
        <w:b/>
        <w:i w:val="0"/>
        <w:color w:val="EA5329"/>
        <w:sz w:val="20"/>
      </w:rPr>
    </w:lvl>
    <w:lvl w:ilvl="2">
      <w:start w:val="1"/>
      <w:numFmt w:val="bullet"/>
      <w:pStyle w:val="Bulletlevel3"/>
      <w:lvlText w:val="–"/>
      <w:lvlJc w:val="left"/>
      <w:pPr>
        <w:tabs>
          <w:tab w:val="num" w:pos="852"/>
        </w:tabs>
        <w:ind w:left="852" w:hanging="284"/>
      </w:pPr>
      <w:rPr>
        <w:rFonts w:ascii="Arial" w:hAnsi="Arial" w:hint="default"/>
        <w:b/>
        <w:i w:val="0"/>
        <w:color w:val="EA5329"/>
        <w:sz w:val="20"/>
      </w:rPr>
    </w:lvl>
    <w:lvl w:ilvl="3">
      <w:start w:val="1"/>
      <w:numFmt w:val="bullet"/>
      <w:lvlText w:val="–"/>
      <w:lvlJc w:val="left"/>
      <w:pPr>
        <w:tabs>
          <w:tab w:val="num" w:pos="1136"/>
        </w:tabs>
        <w:ind w:left="1136" w:hanging="284"/>
      </w:pPr>
      <w:rPr>
        <w:rFonts w:ascii="Arial" w:hAnsi="Arial" w:hint="default"/>
        <w:b/>
        <w:i w:val="0"/>
        <w:color w:val="EA5329"/>
        <w:sz w:val="32"/>
      </w:rPr>
    </w:lvl>
    <w:lvl w:ilvl="4">
      <w:start w:val="1"/>
      <w:numFmt w:val="bullet"/>
      <w:lvlText w:val="–"/>
      <w:lvlJc w:val="left"/>
      <w:pPr>
        <w:tabs>
          <w:tab w:val="num" w:pos="1420"/>
        </w:tabs>
        <w:ind w:left="1420" w:hanging="284"/>
      </w:pPr>
      <w:rPr>
        <w:rFonts w:ascii="Arial" w:hAnsi="Arial" w:hint="default"/>
        <w:b/>
        <w:i w:val="0"/>
        <w:color w:val="EA5329"/>
        <w:sz w:val="32"/>
      </w:rPr>
    </w:lvl>
    <w:lvl w:ilvl="5">
      <w:start w:val="1"/>
      <w:numFmt w:val="bullet"/>
      <w:lvlText w:val="–"/>
      <w:lvlJc w:val="left"/>
      <w:pPr>
        <w:tabs>
          <w:tab w:val="num" w:pos="1704"/>
        </w:tabs>
        <w:ind w:left="1704" w:hanging="284"/>
      </w:pPr>
      <w:rPr>
        <w:rFonts w:ascii="Arial" w:hAnsi="Arial" w:hint="default"/>
        <w:b/>
        <w:i w:val="0"/>
        <w:color w:val="EA5329"/>
        <w:sz w:val="32"/>
      </w:rPr>
    </w:lvl>
    <w:lvl w:ilvl="6">
      <w:start w:val="1"/>
      <w:numFmt w:val="bullet"/>
      <w:lvlText w:val="–"/>
      <w:lvlJc w:val="left"/>
      <w:pPr>
        <w:tabs>
          <w:tab w:val="num" w:pos="1988"/>
        </w:tabs>
        <w:ind w:left="1988" w:hanging="284"/>
      </w:pPr>
      <w:rPr>
        <w:rFonts w:ascii="Arial" w:hAnsi="Arial" w:hint="default"/>
        <w:b/>
        <w:i w:val="0"/>
        <w:color w:val="EA5329"/>
        <w:sz w:val="32"/>
      </w:rPr>
    </w:lvl>
    <w:lvl w:ilvl="7">
      <w:start w:val="1"/>
      <w:numFmt w:val="bullet"/>
      <w:lvlText w:val="–"/>
      <w:lvlJc w:val="left"/>
      <w:pPr>
        <w:tabs>
          <w:tab w:val="num" w:pos="2272"/>
        </w:tabs>
        <w:ind w:left="2272" w:hanging="284"/>
      </w:pPr>
      <w:rPr>
        <w:rFonts w:ascii="Arial" w:hAnsi="Arial" w:hint="default"/>
        <w:b/>
        <w:i w:val="0"/>
        <w:color w:val="EA5329"/>
        <w:sz w:val="32"/>
      </w:rPr>
    </w:lvl>
    <w:lvl w:ilvl="8">
      <w:start w:val="1"/>
      <w:numFmt w:val="bullet"/>
      <w:lvlText w:val="–"/>
      <w:lvlJc w:val="left"/>
      <w:pPr>
        <w:tabs>
          <w:tab w:val="num" w:pos="2556"/>
        </w:tabs>
        <w:ind w:left="2556" w:hanging="284"/>
      </w:pPr>
      <w:rPr>
        <w:rFonts w:ascii="Arial" w:hAnsi="Arial" w:hint="default"/>
        <w:b/>
        <w:i w:val="0"/>
        <w:color w:val="EA5329"/>
        <w:sz w:val="32"/>
      </w:rPr>
    </w:lvl>
  </w:abstractNum>
  <w:num w:numId="1">
    <w:abstractNumId w:val="1"/>
  </w:num>
  <w:num w:numId="2">
    <w:abstractNumId w:val="1"/>
  </w:num>
  <w:num w:numId="3">
    <w:abstractNumId w:val="1"/>
  </w:num>
  <w:num w:numId="4">
    <w:abstractNumId w:val="0"/>
  </w:num>
  <w:num w:numId="5">
    <w:abstractNumId w:val="0"/>
  </w:num>
  <w:num w:numId="6">
    <w:abstractNumId w:val="0"/>
  </w:num>
  <w:num w:numId="7">
    <w:abstractNumId w:val="1"/>
  </w:num>
  <w:num w:numId="8">
    <w:abstractNumId w:val="1"/>
  </w:num>
  <w:num w:numId="9">
    <w:abstractNumId w:val="1"/>
  </w:num>
  <w:num w:numId="10">
    <w:abstractNumId w:val="0"/>
  </w:num>
  <w:num w:numId="11">
    <w:abstractNumId w:val="0"/>
  </w:num>
  <w:num w:numId="12">
    <w:abstractNumId w:val="0"/>
  </w:num>
  <w:num w:numId="13">
    <w:abstractNumId w:val="1"/>
  </w:num>
  <w:num w:numId="14">
    <w:abstractNumId w:val="1"/>
  </w:num>
  <w:num w:numId="15">
    <w:abstractNumId w:val="1"/>
  </w:num>
  <w:num w:numId="16">
    <w:abstractNumId w:val="0"/>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B38"/>
    <w:rsid w:val="0001372C"/>
    <w:rsid w:val="00046D07"/>
    <w:rsid w:val="00275D86"/>
    <w:rsid w:val="00422BE8"/>
    <w:rsid w:val="005E2D0F"/>
    <w:rsid w:val="006F3C69"/>
    <w:rsid w:val="00770676"/>
    <w:rsid w:val="00E134CF"/>
    <w:rsid w:val="00F95B38"/>
    <w:rsid w:val="00FD3D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314BAF-9668-4965-8975-A8FCA948B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72C"/>
    <w:pPr>
      <w:spacing w:after="0" w:line="240" w:lineRule="atLeast"/>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_Title"/>
    <w:basedOn w:val="Normal"/>
    <w:qFormat/>
    <w:rsid w:val="0001372C"/>
    <w:pPr>
      <w:spacing w:line="390" w:lineRule="exact"/>
    </w:pPr>
    <w:rPr>
      <w:caps/>
      <w:color w:val="E3681F" w:themeColor="text2"/>
      <w:position w:val="-4"/>
      <w:sz w:val="48"/>
    </w:rPr>
  </w:style>
  <w:style w:type="paragraph" w:customStyle="1" w:styleId="Bodytext">
    <w:name w:val="_Body text"/>
    <w:basedOn w:val="Normal"/>
    <w:qFormat/>
    <w:rsid w:val="0001372C"/>
  </w:style>
  <w:style w:type="paragraph" w:customStyle="1" w:styleId="Bulletlevel3">
    <w:name w:val="_Bullet level 3"/>
    <w:basedOn w:val="Normal"/>
    <w:qFormat/>
    <w:rsid w:val="0001372C"/>
    <w:pPr>
      <w:numPr>
        <w:ilvl w:val="2"/>
        <w:numId w:val="15"/>
      </w:numPr>
      <w:spacing w:line="200" w:lineRule="atLeast"/>
    </w:pPr>
  </w:style>
  <w:style w:type="paragraph" w:customStyle="1" w:styleId="Bulletlevel2">
    <w:name w:val="_Bullet level 2"/>
    <w:basedOn w:val="Normal"/>
    <w:next w:val="Bulletlevel3"/>
    <w:qFormat/>
    <w:rsid w:val="0001372C"/>
    <w:pPr>
      <w:numPr>
        <w:ilvl w:val="1"/>
        <w:numId w:val="15"/>
      </w:numPr>
      <w:spacing w:line="200" w:lineRule="atLeast"/>
    </w:pPr>
  </w:style>
  <w:style w:type="paragraph" w:customStyle="1" w:styleId="Bulletlevel1">
    <w:name w:val="_Bullet level 1"/>
    <w:basedOn w:val="Normal"/>
    <w:next w:val="Bulletlevel2"/>
    <w:qFormat/>
    <w:rsid w:val="0001372C"/>
    <w:pPr>
      <w:numPr>
        <w:numId w:val="15"/>
      </w:numPr>
      <w:spacing w:line="200" w:lineRule="atLeast"/>
    </w:pPr>
  </w:style>
  <w:style w:type="paragraph" w:customStyle="1" w:styleId="Heading1">
    <w:name w:val="_Heading 1"/>
    <w:basedOn w:val="Normal"/>
    <w:next w:val="Bodytext"/>
    <w:qFormat/>
    <w:rsid w:val="0001372C"/>
    <w:pPr>
      <w:spacing w:line="200" w:lineRule="atLeast"/>
    </w:pPr>
    <w:rPr>
      <w:b/>
    </w:rPr>
  </w:style>
  <w:style w:type="paragraph" w:customStyle="1" w:styleId="AlertRiskManagement">
    <w:name w:val="_Alert / Risk Management"/>
    <w:basedOn w:val="Normal"/>
    <w:semiHidden/>
    <w:qFormat/>
    <w:rsid w:val="0001372C"/>
    <w:pPr>
      <w:framePr w:hSpace="181" w:wrap="around" w:vAnchor="page" w:hAnchor="margin" w:y="1022"/>
      <w:spacing w:line="336" w:lineRule="exact"/>
      <w:suppressOverlap/>
    </w:pPr>
    <w:rPr>
      <w:b/>
      <w:color w:val="702700"/>
      <w:sz w:val="28"/>
    </w:rPr>
  </w:style>
  <w:style w:type="paragraph" w:customStyle="1" w:styleId="Numberedbulletlevel1">
    <w:name w:val="_Numbered bullet level 1"/>
    <w:basedOn w:val="Normal"/>
    <w:next w:val="Bulletlevel1"/>
    <w:qFormat/>
    <w:rsid w:val="0001372C"/>
    <w:pPr>
      <w:numPr>
        <w:numId w:val="18"/>
      </w:numPr>
      <w:spacing w:line="200" w:lineRule="atLeast"/>
      <w:contextualSpacing/>
    </w:pPr>
  </w:style>
  <w:style w:type="paragraph" w:customStyle="1" w:styleId="Numberedbulletlevel2">
    <w:name w:val="_Numbered bullet level 2"/>
    <w:basedOn w:val="Normal"/>
    <w:next w:val="Bulletlevel1"/>
    <w:qFormat/>
    <w:rsid w:val="0001372C"/>
    <w:pPr>
      <w:numPr>
        <w:ilvl w:val="1"/>
        <w:numId w:val="18"/>
      </w:numPr>
      <w:spacing w:line="200" w:lineRule="atLeast"/>
      <w:contextualSpacing/>
    </w:pPr>
  </w:style>
  <w:style w:type="paragraph" w:customStyle="1" w:styleId="Numberedbulletlevel3">
    <w:name w:val="_Numbered bullet level 3"/>
    <w:basedOn w:val="Normal"/>
    <w:next w:val="Bulletlevel1"/>
    <w:qFormat/>
    <w:rsid w:val="0001372C"/>
    <w:pPr>
      <w:numPr>
        <w:ilvl w:val="2"/>
        <w:numId w:val="18"/>
      </w:numPr>
      <w:spacing w:line="200" w:lineRule="atLeast"/>
      <w:contextualSpacing/>
    </w:pPr>
  </w:style>
  <w:style w:type="paragraph" w:customStyle="1" w:styleId="Charttextfirstcol">
    <w:name w:val="_Chart text first col"/>
    <w:basedOn w:val="Normal"/>
    <w:qFormat/>
    <w:rsid w:val="0001372C"/>
    <w:pPr>
      <w:spacing w:line="160" w:lineRule="exact"/>
    </w:pPr>
    <w:rPr>
      <w:b/>
      <w:color w:val="E3681F" w:themeColor="text2"/>
      <w:sz w:val="13"/>
    </w:rPr>
  </w:style>
  <w:style w:type="paragraph" w:styleId="NormalWeb">
    <w:name w:val="Normal (Web)"/>
    <w:basedOn w:val="Normal"/>
    <w:uiPriority w:val="99"/>
    <w:semiHidden/>
    <w:unhideWhenUsed/>
    <w:rsid w:val="00F95B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95B38"/>
    <w:rPr>
      <w:color w:val="68564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04633">
      <w:bodyDiv w:val="1"/>
      <w:marLeft w:val="0"/>
      <w:marRight w:val="0"/>
      <w:marTop w:val="0"/>
      <w:marBottom w:val="0"/>
      <w:divBdr>
        <w:top w:val="none" w:sz="0" w:space="0" w:color="auto"/>
        <w:left w:val="none" w:sz="0" w:space="0" w:color="auto"/>
        <w:bottom w:val="none" w:sz="0" w:space="0" w:color="auto"/>
        <w:right w:val="none" w:sz="0" w:space="0" w:color="auto"/>
      </w:divBdr>
      <w:divsChild>
        <w:div w:id="1051421889">
          <w:marLeft w:val="0"/>
          <w:marRight w:val="0"/>
          <w:marTop w:val="0"/>
          <w:marBottom w:val="0"/>
          <w:divBdr>
            <w:top w:val="none" w:sz="0" w:space="0" w:color="auto"/>
            <w:left w:val="none" w:sz="0" w:space="0" w:color="auto"/>
            <w:bottom w:val="none" w:sz="0" w:space="0" w:color="auto"/>
            <w:right w:val="none" w:sz="0" w:space="0" w:color="auto"/>
          </w:divBdr>
          <w:divsChild>
            <w:div w:id="1046219745">
              <w:marLeft w:val="0"/>
              <w:marRight w:val="0"/>
              <w:marTop w:val="0"/>
              <w:marBottom w:val="0"/>
              <w:divBdr>
                <w:top w:val="none" w:sz="0" w:space="0" w:color="auto"/>
                <w:left w:val="none" w:sz="0" w:space="0" w:color="auto"/>
                <w:bottom w:val="none" w:sz="0" w:space="0" w:color="auto"/>
                <w:right w:val="none" w:sz="0" w:space="0" w:color="auto"/>
              </w:divBdr>
              <w:divsChild>
                <w:div w:id="372269731">
                  <w:marLeft w:val="0"/>
                  <w:marRight w:val="0"/>
                  <w:marTop w:val="0"/>
                  <w:marBottom w:val="0"/>
                  <w:divBdr>
                    <w:top w:val="none" w:sz="0" w:space="0" w:color="auto"/>
                    <w:left w:val="none" w:sz="0" w:space="0" w:color="auto"/>
                    <w:bottom w:val="none" w:sz="0" w:space="0" w:color="auto"/>
                    <w:right w:val="none" w:sz="0" w:space="0" w:color="auto"/>
                  </w:divBdr>
                  <w:divsChild>
                    <w:div w:id="1943494313">
                      <w:marLeft w:val="0"/>
                      <w:marRight w:val="0"/>
                      <w:marTop w:val="0"/>
                      <w:marBottom w:val="0"/>
                      <w:divBdr>
                        <w:top w:val="none" w:sz="0" w:space="0" w:color="auto"/>
                        <w:left w:val="none" w:sz="0" w:space="0" w:color="auto"/>
                        <w:bottom w:val="none" w:sz="0" w:space="0" w:color="auto"/>
                        <w:right w:val="none" w:sz="0" w:space="0" w:color="auto"/>
                      </w:divBdr>
                      <w:divsChild>
                        <w:div w:id="1478492513">
                          <w:marLeft w:val="0"/>
                          <w:marRight w:val="0"/>
                          <w:marTop w:val="0"/>
                          <w:marBottom w:val="150"/>
                          <w:divBdr>
                            <w:top w:val="none" w:sz="0" w:space="0" w:color="auto"/>
                            <w:left w:val="none" w:sz="0" w:space="0" w:color="auto"/>
                            <w:bottom w:val="none" w:sz="0" w:space="0" w:color="auto"/>
                            <w:right w:val="none" w:sz="0" w:space="0" w:color="auto"/>
                          </w:divBdr>
                          <w:divsChild>
                            <w:div w:id="905991783">
                              <w:marLeft w:val="0"/>
                              <w:marRight w:val="0"/>
                              <w:marTop w:val="0"/>
                              <w:marBottom w:val="0"/>
                              <w:divBdr>
                                <w:top w:val="none" w:sz="0" w:space="0" w:color="auto"/>
                                <w:left w:val="none" w:sz="0" w:space="0" w:color="auto"/>
                                <w:bottom w:val="none" w:sz="0" w:space="0" w:color="auto"/>
                                <w:right w:val="none" w:sz="0" w:space="0" w:color="auto"/>
                              </w:divBdr>
                              <w:divsChild>
                                <w:div w:id="10836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22880">
                          <w:marLeft w:val="0"/>
                          <w:marRight w:val="0"/>
                          <w:marTop w:val="0"/>
                          <w:marBottom w:val="300"/>
                          <w:divBdr>
                            <w:top w:val="none" w:sz="0" w:space="0" w:color="auto"/>
                            <w:left w:val="none" w:sz="0" w:space="0" w:color="auto"/>
                            <w:bottom w:val="none" w:sz="0" w:space="0" w:color="auto"/>
                            <w:right w:val="none" w:sz="0" w:space="0" w:color="auto"/>
                          </w:divBdr>
                          <w:divsChild>
                            <w:div w:id="1665937430">
                              <w:marLeft w:val="0"/>
                              <w:marRight w:val="0"/>
                              <w:marTop w:val="0"/>
                              <w:marBottom w:val="0"/>
                              <w:divBdr>
                                <w:top w:val="none" w:sz="0" w:space="0" w:color="auto"/>
                                <w:left w:val="none" w:sz="0" w:space="0" w:color="auto"/>
                                <w:bottom w:val="none" w:sz="0" w:space="0" w:color="auto"/>
                                <w:right w:val="none" w:sz="0" w:space="0" w:color="auto"/>
                              </w:divBdr>
                              <w:divsChild>
                                <w:div w:id="1579829562">
                                  <w:marLeft w:val="0"/>
                                  <w:marRight w:val="0"/>
                                  <w:marTop w:val="0"/>
                                  <w:marBottom w:val="0"/>
                                  <w:divBdr>
                                    <w:top w:val="none" w:sz="0" w:space="0" w:color="auto"/>
                                    <w:left w:val="none" w:sz="0" w:space="0" w:color="auto"/>
                                    <w:bottom w:val="none" w:sz="0" w:space="0" w:color="auto"/>
                                    <w:right w:val="none" w:sz="0" w:space="0" w:color="auto"/>
                                  </w:divBdr>
                                  <w:divsChild>
                                    <w:div w:id="38281904">
                                      <w:marLeft w:val="0"/>
                                      <w:marRight w:val="0"/>
                                      <w:marTop w:val="0"/>
                                      <w:marBottom w:val="0"/>
                                      <w:divBdr>
                                        <w:top w:val="none" w:sz="0" w:space="0" w:color="auto"/>
                                        <w:left w:val="none" w:sz="0" w:space="0" w:color="auto"/>
                                        <w:bottom w:val="none" w:sz="0" w:space="0" w:color="auto"/>
                                        <w:right w:val="none" w:sz="0" w:space="0" w:color="auto"/>
                                      </w:divBdr>
                                      <w:divsChild>
                                        <w:div w:id="1660886678">
                                          <w:marLeft w:val="0"/>
                                          <w:marRight w:val="0"/>
                                          <w:marTop w:val="0"/>
                                          <w:marBottom w:val="0"/>
                                          <w:divBdr>
                                            <w:top w:val="none" w:sz="0" w:space="0" w:color="auto"/>
                                            <w:left w:val="none" w:sz="0" w:space="0" w:color="auto"/>
                                            <w:bottom w:val="none" w:sz="0" w:space="0" w:color="auto"/>
                                            <w:right w:val="none" w:sz="0" w:space="0" w:color="auto"/>
                                          </w:divBdr>
                                          <w:divsChild>
                                            <w:div w:id="739601518">
                                              <w:marLeft w:val="0"/>
                                              <w:marRight w:val="0"/>
                                              <w:marTop w:val="0"/>
                                              <w:marBottom w:val="0"/>
                                              <w:divBdr>
                                                <w:top w:val="none" w:sz="0" w:space="0" w:color="auto"/>
                                                <w:left w:val="none" w:sz="0" w:space="0" w:color="auto"/>
                                                <w:bottom w:val="none" w:sz="0" w:space="0" w:color="auto"/>
                                                <w:right w:val="none" w:sz="0" w:space="0" w:color="auto"/>
                                              </w:divBdr>
                                              <w:divsChild>
                                                <w:div w:id="185522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iplomatie.belgium.be/fr/politique/diplomatie_economique/finexp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redendo">
      <a:dk1>
        <a:srgbClr val="685648"/>
      </a:dk1>
      <a:lt1>
        <a:srgbClr val="FFFFFF"/>
      </a:lt1>
      <a:dk2>
        <a:srgbClr val="E3681F"/>
      </a:dk2>
      <a:lt2>
        <a:srgbClr val="FFFFFF"/>
      </a:lt2>
      <a:accent1>
        <a:srgbClr val="AE2D15"/>
      </a:accent1>
      <a:accent2>
        <a:srgbClr val="E19A1E"/>
      </a:accent2>
      <a:accent3>
        <a:srgbClr val="250201"/>
      </a:accent3>
      <a:accent4>
        <a:srgbClr val="702700"/>
      </a:accent4>
      <a:accent5>
        <a:srgbClr val="E3681F"/>
      </a:accent5>
      <a:accent6>
        <a:srgbClr val="C6B8AF"/>
      </a:accent6>
      <a:hlink>
        <a:srgbClr val="685648"/>
      </a:hlink>
      <a:folHlink>
        <a:srgbClr val="68564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Credendo Group</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Spreuwers</dc:creator>
  <cp:lastModifiedBy>Laurence de Barquin</cp:lastModifiedBy>
  <cp:revision>2</cp:revision>
  <dcterms:created xsi:type="dcterms:W3CDTF">2021-03-05T14:44:00Z</dcterms:created>
  <dcterms:modified xsi:type="dcterms:W3CDTF">2021-03-05T14:44:00Z</dcterms:modified>
</cp:coreProperties>
</file>